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7BAA" w:rsidR="00BD2F92" w:rsidP="00C76717" w:rsidRDefault="001A7DC5" w14:paraId="3E7FAD9A" w14:textId="1709FB8D">
      <w:pPr>
        <w:pStyle w:val="Texto"/>
        <w:spacing w:before="0" w:after="0" w:line="240" w:lineRule="auto"/>
        <w:jc w:val="center"/>
        <w:rPr>
          <w:b/>
          <w:bCs/>
          <w:sz w:val="24"/>
        </w:rPr>
      </w:pPr>
      <w:r w:rsidRPr="009A7BAA">
        <w:rPr>
          <w:b/>
          <w:bCs/>
          <w:sz w:val="24"/>
        </w:rPr>
        <w:t>Circular Externa</w:t>
      </w:r>
    </w:p>
    <w:p w:rsidRPr="009A7BAA" w:rsidR="00181ABF" w:rsidP="00C76717" w:rsidRDefault="00BD2F92" w14:paraId="5C4DB160" w14:textId="100BA95A">
      <w:pPr>
        <w:pStyle w:val="Texto"/>
        <w:spacing w:before="0" w:after="0" w:line="240" w:lineRule="auto"/>
        <w:jc w:val="center"/>
        <w:rPr>
          <w:sz w:val="24"/>
        </w:rPr>
      </w:pPr>
      <w:r w:rsidRPr="009A7BAA">
        <w:rPr>
          <w:sz w:val="24"/>
        </w:rPr>
        <w:t>2</w:t>
      </w:r>
      <w:r w:rsidRPr="009A7BAA" w:rsidR="009A7BAA">
        <w:rPr>
          <w:sz w:val="24"/>
        </w:rPr>
        <w:t>6</w:t>
      </w:r>
      <w:r w:rsidRPr="009A7BAA">
        <w:rPr>
          <w:sz w:val="24"/>
        </w:rPr>
        <w:t xml:space="preserve"> de noviembre de 2022</w:t>
      </w:r>
    </w:p>
    <w:sdt>
      <w:sdtPr>
        <w:rPr>
          <w:sz w:val="24"/>
        </w:rPr>
        <w:alias w:val="Consecutivo"/>
        <w:tag w:val="Consecutivo"/>
        <w:id w:val="2052717023"/>
        <w:placeholder>
          <w:docPart w:val="92099032F12E4850B1513BB36AF2B25F"/>
        </w:placeholder>
        <w:text/>
      </w:sdtPr>
      <w:sdtEndPr/>
      <w:sdtContent>
        <w:p w:rsidRPr="009A7BAA" w:rsidR="00181ABF" w:rsidP="00C76717" w:rsidRDefault="00181ABF" w14:paraId="2B9AA165" w14:textId="77777777">
          <w:pPr>
            <w:tabs>
              <w:tab w:val="left" w:pos="2843"/>
            </w:tabs>
            <w:spacing w:line="240" w:lineRule="auto"/>
            <w:jc w:val="center"/>
            <w:rPr>
              <w:sz w:val="24"/>
            </w:rPr>
          </w:pPr>
          <w:r>
            <w:t>SGF-2470-2022</w:t>
          </w:r>
        </w:p>
      </w:sdtContent>
    </w:sdt>
    <w:p w:rsidRPr="009A7BAA" w:rsidR="00181ABF" w:rsidP="00C76717" w:rsidRDefault="009A7BAA" w14:paraId="662E5A49" w14:textId="07FADB59">
      <w:pPr>
        <w:tabs>
          <w:tab w:val="left" w:pos="2843"/>
        </w:tabs>
        <w:spacing w:line="240" w:lineRule="auto"/>
        <w:jc w:val="center"/>
        <w:rPr>
          <w:b/>
          <w:bCs/>
          <w:sz w:val="24"/>
        </w:rPr>
      </w:pPr>
      <w:sdt>
        <w:sdtPr>
          <w:rPr>
            <w:b/>
            <w:bCs/>
            <w:sz w:val="24"/>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A7BAA" w:rsidR="00BD2F92">
            <w:rPr>
              <w:b/>
              <w:bCs/>
              <w:sz w:val="24"/>
            </w:rPr>
            <w:t>SGF-PUBLICO</w:t>
          </w:r>
        </w:sdtContent>
      </w:sdt>
    </w:p>
    <w:p w:rsidRPr="009A7BAA" w:rsidR="00181ABF" w:rsidP="00C76717" w:rsidRDefault="00181ABF" w14:paraId="1B4A7E02" w14:textId="4D072156">
      <w:pPr>
        <w:tabs>
          <w:tab w:val="left" w:pos="2843"/>
        </w:tabs>
        <w:spacing w:line="240" w:lineRule="auto"/>
        <w:rPr>
          <w:sz w:val="24"/>
        </w:rPr>
      </w:pPr>
    </w:p>
    <w:p w:rsidRPr="009A7BAA" w:rsidR="001A7DC5" w:rsidP="00C76717" w:rsidRDefault="001A7DC5" w14:paraId="7344DDA2" w14:textId="77777777">
      <w:pPr>
        <w:widowControl w:val="0"/>
        <w:spacing w:line="240" w:lineRule="auto"/>
        <w:ind w:left="34" w:right="86"/>
        <w:outlineLvl w:val="0"/>
        <w:rPr>
          <w:b/>
          <w:sz w:val="24"/>
          <w:lang w:val="es-CR"/>
        </w:rPr>
      </w:pPr>
      <w:r w:rsidRPr="009A7BAA">
        <w:rPr>
          <w:b/>
          <w:sz w:val="24"/>
          <w:lang w:val="es-CR"/>
        </w:rPr>
        <w:t xml:space="preserve">Dirigida a: </w:t>
      </w:r>
    </w:p>
    <w:p w:rsidRPr="009A7BAA" w:rsidR="001A7DC5" w:rsidP="00C76717" w:rsidRDefault="001A7DC5" w14:paraId="33F78CFC" w14:textId="77777777">
      <w:pPr>
        <w:widowControl w:val="0"/>
        <w:spacing w:line="240" w:lineRule="auto"/>
        <w:ind w:left="34" w:right="86"/>
        <w:outlineLvl w:val="0"/>
        <w:rPr>
          <w:b/>
          <w:sz w:val="24"/>
          <w:lang w:val="es-CR"/>
        </w:rPr>
      </w:pPr>
    </w:p>
    <w:p w:rsidRPr="009A7BAA" w:rsidR="001A7DC5" w:rsidP="00C76717" w:rsidRDefault="001A7DC5" w14:paraId="3AE86036" w14:textId="77777777">
      <w:pPr>
        <w:widowControl w:val="0"/>
        <w:numPr>
          <w:ilvl w:val="0"/>
          <w:numId w:val="3"/>
        </w:numPr>
        <w:spacing w:line="240" w:lineRule="auto"/>
        <w:ind w:left="567" w:right="86" w:hanging="567"/>
        <w:rPr>
          <w:b/>
          <w:sz w:val="24"/>
          <w:lang w:val="es-CR"/>
        </w:rPr>
      </w:pPr>
      <w:r w:rsidRPr="009A7BAA">
        <w:rPr>
          <w:b/>
          <w:sz w:val="24"/>
          <w:lang w:val="es-CR"/>
        </w:rPr>
        <w:t>Bancos Comerciales del Estado</w:t>
      </w:r>
    </w:p>
    <w:p w:rsidRPr="009A7BAA" w:rsidR="001A7DC5" w:rsidP="00C76717" w:rsidRDefault="001A7DC5" w14:paraId="7FBFC816" w14:textId="77777777">
      <w:pPr>
        <w:widowControl w:val="0"/>
        <w:numPr>
          <w:ilvl w:val="0"/>
          <w:numId w:val="3"/>
        </w:numPr>
        <w:spacing w:line="240" w:lineRule="auto"/>
        <w:ind w:left="567" w:right="86" w:hanging="567"/>
        <w:rPr>
          <w:b/>
          <w:sz w:val="24"/>
          <w:lang w:val="es-CR"/>
        </w:rPr>
      </w:pPr>
      <w:r w:rsidRPr="009A7BAA">
        <w:rPr>
          <w:b/>
          <w:sz w:val="24"/>
          <w:lang w:val="es-CR"/>
        </w:rPr>
        <w:t>Bancos Creados por Leyes Especiales</w:t>
      </w:r>
    </w:p>
    <w:p w:rsidRPr="009A7BAA" w:rsidR="001A7DC5" w:rsidP="00C76717" w:rsidRDefault="001A7DC5" w14:paraId="7B6BF757" w14:textId="77777777">
      <w:pPr>
        <w:widowControl w:val="0"/>
        <w:numPr>
          <w:ilvl w:val="0"/>
          <w:numId w:val="3"/>
        </w:numPr>
        <w:spacing w:line="240" w:lineRule="auto"/>
        <w:ind w:left="567" w:right="86" w:hanging="567"/>
        <w:rPr>
          <w:b/>
          <w:sz w:val="24"/>
          <w:lang w:val="es-CR"/>
        </w:rPr>
      </w:pPr>
      <w:r w:rsidRPr="009A7BAA">
        <w:rPr>
          <w:b/>
          <w:sz w:val="24"/>
          <w:lang w:val="es-CR"/>
        </w:rPr>
        <w:t xml:space="preserve">Bancos Privados </w:t>
      </w:r>
    </w:p>
    <w:p w:rsidRPr="009A7BAA" w:rsidR="001A7DC5" w:rsidP="00C76717" w:rsidRDefault="001A7DC5" w14:paraId="77FCAE7A" w14:textId="77777777">
      <w:pPr>
        <w:widowControl w:val="0"/>
        <w:numPr>
          <w:ilvl w:val="0"/>
          <w:numId w:val="3"/>
        </w:numPr>
        <w:spacing w:line="240" w:lineRule="auto"/>
        <w:ind w:left="567" w:right="86" w:hanging="567"/>
        <w:rPr>
          <w:b/>
          <w:sz w:val="24"/>
          <w:lang w:val="es-CR"/>
        </w:rPr>
      </w:pPr>
      <w:r w:rsidRPr="009A7BAA">
        <w:rPr>
          <w:b/>
          <w:sz w:val="24"/>
          <w:lang w:val="es-CR"/>
        </w:rPr>
        <w:t>Organizaciones Cooperativas de Ahorro y Crédito</w:t>
      </w:r>
    </w:p>
    <w:p w:rsidRPr="009A7BAA" w:rsidR="001A7DC5" w:rsidP="00C76717" w:rsidRDefault="001A7DC5" w14:paraId="33BE717C" w14:textId="77777777">
      <w:pPr>
        <w:widowControl w:val="0"/>
        <w:numPr>
          <w:ilvl w:val="0"/>
          <w:numId w:val="3"/>
        </w:numPr>
        <w:spacing w:line="240" w:lineRule="auto"/>
        <w:ind w:left="567" w:right="86" w:hanging="567"/>
        <w:rPr>
          <w:b/>
          <w:sz w:val="24"/>
          <w:lang w:val="es-CR"/>
        </w:rPr>
      </w:pPr>
      <w:r w:rsidRPr="009A7BAA">
        <w:rPr>
          <w:b/>
          <w:sz w:val="24"/>
          <w:lang w:val="es-CR"/>
        </w:rPr>
        <w:t>Empresas Financieras no Bancarias</w:t>
      </w:r>
    </w:p>
    <w:p w:rsidRPr="009A7BAA" w:rsidR="001A7DC5" w:rsidP="00C76717" w:rsidRDefault="001A7DC5" w14:paraId="2C1482EE" w14:textId="77777777">
      <w:pPr>
        <w:widowControl w:val="0"/>
        <w:numPr>
          <w:ilvl w:val="0"/>
          <w:numId w:val="3"/>
        </w:numPr>
        <w:spacing w:line="240" w:lineRule="auto"/>
        <w:ind w:left="567" w:right="86" w:hanging="567"/>
        <w:rPr>
          <w:b/>
          <w:sz w:val="24"/>
          <w:lang w:val="es-CR"/>
        </w:rPr>
      </w:pPr>
      <w:r w:rsidRPr="009A7BAA">
        <w:rPr>
          <w:b/>
          <w:sz w:val="24"/>
          <w:lang w:val="es-CR"/>
        </w:rPr>
        <w:t>Asociaciones Mutualistas de Ahorro y Préstamo</w:t>
      </w:r>
    </w:p>
    <w:p w:rsidRPr="009A7BAA" w:rsidR="001A7DC5" w:rsidP="00C76717" w:rsidRDefault="001A7DC5" w14:paraId="29EFB8FB" w14:textId="77777777">
      <w:pPr>
        <w:widowControl w:val="0"/>
        <w:numPr>
          <w:ilvl w:val="0"/>
          <w:numId w:val="3"/>
        </w:numPr>
        <w:spacing w:line="240" w:lineRule="auto"/>
        <w:ind w:left="567" w:right="86" w:hanging="567"/>
        <w:rPr>
          <w:b/>
          <w:sz w:val="24"/>
          <w:lang w:val="es-CR"/>
        </w:rPr>
      </w:pPr>
      <w:r w:rsidRPr="009A7BAA">
        <w:rPr>
          <w:b/>
          <w:sz w:val="24"/>
          <w:lang w:val="es-CR"/>
        </w:rPr>
        <w:t>Otras Entidades Financieras</w:t>
      </w:r>
    </w:p>
    <w:p w:rsidRPr="009A7BAA" w:rsidR="001A7DC5" w:rsidP="00C76717" w:rsidRDefault="001A7DC5" w14:paraId="6C984AD3" w14:textId="77777777">
      <w:pPr>
        <w:widowControl w:val="0"/>
        <w:numPr>
          <w:ilvl w:val="0"/>
          <w:numId w:val="3"/>
        </w:numPr>
        <w:spacing w:line="240" w:lineRule="auto"/>
        <w:ind w:left="567" w:right="86" w:hanging="567"/>
        <w:rPr>
          <w:b/>
          <w:sz w:val="24"/>
          <w:lang w:val="es-CR"/>
        </w:rPr>
      </w:pPr>
      <w:r w:rsidRPr="009A7BAA">
        <w:rPr>
          <w:b/>
          <w:sz w:val="24"/>
          <w:lang w:val="es-CR"/>
        </w:rPr>
        <w:t>Secretaria Técnica Banca para el Desarrollo</w:t>
      </w:r>
    </w:p>
    <w:p w:rsidRPr="009A7BAA" w:rsidR="001A7DC5" w:rsidP="00C76717" w:rsidRDefault="001A7DC5" w14:paraId="297B7218" w14:textId="77777777">
      <w:pPr>
        <w:spacing w:line="240" w:lineRule="auto"/>
        <w:rPr>
          <w:b/>
          <w:sz w:val="24"/>
        </w:rPr>
      </w:pPr>
    </w:p>
    <w:p w:rsidRPr="009A7BAA" w:rsidR="001A7DC5" w:rsidP="00C76717" w:rsidRDefault="001A7DC5" w14:paraId="7FD4DCDB" w14:textId="77777777">
      <w:pPr>
        <w:spacing w:line="240" w:lineRule="auto"/>
        <w:rPr>
          <w:rFonts w:eastAsia="Calibri" w:cs="Arial"/>
          <w:color w:val="000000"/>
          <w:sz w:val="24"/>
          <w:lang w:val="es-CR" w:eastAsia="es-CR"/>
        </w:rPr>
      </w:pPr>
      <w:r w:rsidRPr="009A7BAA">
        <w:rPr>
          <w:b/>
          <w:sz w:val="24"/>
        </w:rPr>
        <w:t xml:space="preserve">Asunto: </w:t>
      </w:r>
      <w:r w:rsidRPr="009A7BAA">
        <w:rPr>
          <w:rFonts w:eastAsia="Calibri" w:cs="Arial"/>
          <w:color w:val="000000"/>
          <w:sz w:val="24"/>
          <w:lang w:val="es-CR" w:eastAsia="es-CR"/>
        </w:rPr>
        <w:t>Comunicar cambios al documento “</w:t>
      </w:r>
      <w:r w:rsidRPr="009A7BAA">
        <w:rPr>
          <w:rFonts w:eastAsia="Calibri" w:cs="Arial"/>
          <w:i/>
          <w:iCs/>
          <w:color w:val="000000"/>
          <w:sz w:val="24"/>
          <w:lang w:val="es-CR" w:eastAsia="es-CR"/>
        </w:rPr>
        <w:t>Sistema de Captura, Verificación y Carga de Datos, Documentación de Datos de Envío, Clase Datos de Operaciones Crediticias</w:t>
      </w:r>
      <w:r w:rsidRPr="009A7BAA">
        <w:rPr>
          <w:rFonts w:eastAsia="Calibri" w:cs="Arial"/>
          <w:color w:val="000000"/>
          <w:sz w:val="24"/>
          <w:lang w:val="es-CR" w:eastAsia="es-CR"/>
        </w:rPr>
        <w:t>”, al cual se integran nuevas validaciones, la modificación de algunas validaciones y la creación de nuevos códigos en tablas existentes. Asimismo, comunicar la publicación del XML y XSD del Archivo Cambio Climático.</w:t>
      </w:r>
    </w:p>
    <w:p w:rsidRPr="009A7BAA" w:rsidR="001A7DC5" w:rsidP="00C76717" w:rsidRDefault="001A7DC5" w14:paraId="2429AB1B" w14:textId="77777777">
      <w:pPr>
        <w:spacing w:line="240" w:lineRule="auto"/>
        <w:rPr>
          <w:rFonts w:eastAsia="Calibri" w:cs="Arial"/>
          <w:color w:val="000000"/>
          <w:sz w:val="24"/>
          <w:lang w:val="es-CR" w:eastAsia="es-CR"/>
        </w:rPr>
      </w:pPr>
    </w:p>
    <w:p w:rsidRPr="009A7BAA" w:rsidR="001A7DC5" w:rsidP="00C76717" w:rsidRDefault="001A7DC5" w14:paraId="6D95F3DC" w14:textId="77777777">
      <w:pPr>
        <w:spacing w:line="240" w:lineRule="auto"/>
        <w:rPr>
          <w:rFonts w:eastAsia="Calibri" w:cs="Arial"/>
          <w:color w:val="000000"/>
          <w:sz w:val="24"/>
          <w:lang w:val="es-CR" w:eastAsia="es-CR"/>
        </w:rPr>
      </w:pPr>
      <w:r w:rsidRPr="009A7BAA">
        <w:rPr>
          <w:rFonts w:eastAsia="Calibri" w:cs="Arial"/>
          <w:color w:val="000000"/>
          <w:sz w:val="24"/>
          <w:lang w:val="es-CR" w:eastAsia="es-CR"/>
        </w:rPr>
        <w:t xml:space="preserve">El Despacho de la Superintendencia General de Entidades Financieras (SUGEF), </w:t>
      </w:r>
    </w:p>
    <w:p w:rsidRPr="009A7BAA" w:rsidR="001A7DC5" w:rsidP="00C76717" w:rsidRDefault="001A7DC5" w14:paraId="2CB942F2" w14:textId="77777777">
      <w:pPr>
        <w:tabs>
          <w:tab w:val="left" w:pos="2843"/>
        </w:tabs>
        <w:spacing w:line="240" w:lineRule="auto"/>
        <w:rPr>
          <w:b/>
          <w:sz w:val="24"/>
        </w:rPr>
      </w:pPr>
    </w:p>
    <w:p w:rsidRPr="009A7BAA" w:rsidR="001A7DC5" w:rsidP="00C76717" w:rsidRDefault="001A7DC5" w14:paraId="5A4A19DA" w14:textId="77777777">
      <w:pPr>
        <w:tabs>
          <w:tab w:val="left" w:pos="2843"/>
        </w:tabs>
        <w:spacing w:line="240" w:lineRule="auto"/>
        <w:rPr>
          <w:b/>
          <w:sz w:val="24"/>
        </w:rPr>
      </w:pPr>
      <w:r w:rsidRPr="009A7BAA">
        <w:rPr>
          <w:b/>
          <w:sz w:val="24"/>
        </w:rPr>
        <w:t>Considerando que:</w:t>
      </w:r>
    </w:p>
    <w:p w:rsidRPr="009A7BAA" w:rsidR="001A7DC5" w:rsidP="00C76717" w:rsidRDefault="001A7DC5" w14:paraId="67CE9529" w14:textId="77777777">
      <w:pPr>
        <w:pStyle w:val="Default"/>
        <w:numPr>
          <w:ilvl w:val="0"/>
          <w:numId w:val="4"/>
        </w:numPr>
        <w:ind w:left="360" w:hanging="357"/>
        <w:jc w:val="both"/>
        <w:rPr>
          <w:rFonts w:ascii="Cambria" w:hAnsi="Cambria"/>
        </w:rPr>
      </w:pPr>
      <w:r w:rsidRPr="009A7BAA">
        <w:rPr>
          <w:rFonts w:ascii="Cambria" w:hAnsi="Cambria"/>
        </w:rPr>
        <w:t>El artículo 119 “Supervisión y fiscalización de la Superintendencia” de la Ley N° 7558 “Ley Orgánica del Banco Central de Costa Rica” dispone que, con el propósito de velar por la estabilidad, la solidez y el eficiente funcionamiento del Sistema Financiero Nacional, la Superintendencia General de Entidades Financieras ejercerá sus actividades de supervisión y fiscalización sobre todas las entidades que lleven a cabo intermediación financiera, con estricto apego a las disposiciones legales y reglamentarias, vigilando por el cumplimiento de los preceptos que les sean aplicables.</w:t>
      </w:r>
    </w:p>
    <w:p w:rsidRPr="009A7BAA" w:rsidR="001A7DC5" w:rsidP="00C76717" w:rsidRDefault="001A7DC5" w14:paraId="7B3D4558" w14:textId="77777777">
      <w:pPr>
        <w:pStyle w:val="Default"/>
        <w:ind w:left="360"/>
        <w:jc w:val="both"/>
        <w:rPr>
          <w:rFonts w:ascii="Cambria" w:hAnsi="Cambria"/>
        </w:rPr>
      </w:pPr>
    </w:p>
    <w:p w:rsidRPr="009A7BAA" w:rsidR="001A7DC5" w:rsidP="00C76717" w:rsidRDefault="001A7DC5" w14:paraId="789A400B" w14:textId="77777777">
      <w:pPr>
        <w:pStyle w:val="Default"/>
        <w:numPr>
          <w:ilvl w:val="0"/>
          <w:numId w:val="4"/>
        </w:numPr>
        <w:ind w:left="360" w:hanging="357"/>
        <w:jc w:val="both"/>
        <w:rPr>
          <w:rFonts w:ascii="Cambria" w:hAnsi="Cambria"/>
          <w:color w:val="auto"/>
        </w:rPr>
      </w:pPr>
      <w:r w:rsidRPr="009A7BAA">
        <w:rPr>
          <w:rFonts w:ascii="Cambria" w:hAnsi="Cambria"/>
          <w:color w:val="auto"/>
        </w:rPr>
        <w:t xml:space="preserve">El Consejo Nacional de Supervisión del Sistema Financiero, en el artículo 9 del acta de la sesión 1752-2022, celebrada el 29 de agosto de 2022, dispuso cambios a varias normativas vigentes. Entre los cambios comunicados y que tienen vigencia a partir de enero de 2023, se establece, en el Acuerdo SUGEF 1-05 </w:t>
      </w:r>
      <w:r w:rsidRPr="009A7BAA">
        <w:rPr>
          <w:rFonts w:ascii="Cambria" w:hAnsi="Cambria"/>
          <w:i/>
          <w:iCs/>
          <w:color w:val="auto"/>
        </w:rPr>
        <w:t>Reglamento para la Calificación de Deudores,</w:t>
      </w:r>
      <w:r w:rsidRPr="009A7BAA">
        <w:rPr>
          <w:rFonts w:ascii="Cambria" w:hAnsi="Cambria"/>
          <w:color w:val="auto"/>
        </w:rPr>
        <w:t xml:space="preserve"> adicionar el transitorio XXIV, el cual modifica su artículo 11 bis y, en el Acuerdo SUGEF 15-16, agregar el transitorio X, el cual modifica su artículo 11.</w:t>
      </w:r>
    </w:p>
    <w:p w:rsidRPr="009A7BAA" w:rsidR="001A7DC5" w:rsidP="00C76717" w:rsidRDefault="001A7DC5" w14:paraId="5097E898" w14:textId="77777777">
      <w:pPr>
        <w:pStyle w:val="Default"/>
        <w:ind w:left="360"/>
        <w:jc w:val="both"/>
        <w:rPr>
          <w:rFonts w:ascii="Cambria" w:hAnsi="Cambria"/>
          <w:color w:val="auto"/>
        </w:rPr>
      </w:pPr>
    </w:p>
    <w:p w:rsidRPr="009A7BAA" w:rsidR="001A7DC5" w:rsidP="00C76717" w:rsidRDefault="001A7DC5" w14:paraId="6EC30022" w14:textId="77777777">
      <w:pPr>
        <w:pStyle w:val="Default"/>
        <w:numPr>
          <w:ilvl w:val="0"/>
          <w:numId w:val="4"/>
        </w:numPr>
        <w:ind w:left="360" w:hanging="357"/>
        <w:jc w:val="both"/>
        <w:rPr>
          <w:rFonts w:ascii="Cambria" w:hAnsi="Cambria"/>
          <w:color w:val="auto"/>
        </w:rPr>
      </w:pPr>
      <w:r w:rsidRPr="009A7BAA">
        <w:rPr>
          <w:rFonts w:ascii="Cambria" w:hAnsi="Cambria"/>
          <w:color w:val="auto"/>
        </w:rPr>
        <w:t>Las modificaciones a los artículos antes indicados, hacen necesario que se realicen cambios a los documentos Clase de Datos Operaciones Crediticias y Tablas de Catálogo, incluyendo nuevas validaciones y nuevos códigos en las tablas de catálogo.</w:t>
      </w:r>
    </w:p>
    <w:p w:rsidRPr="009A7BAA" w:rsidR="001A7DC5" w:rsidP="00C76717" w:rsidRDefault="001A7DC5" w14:paraId="49E90E4A" w14:textId="77777777">
      <w:pPr>
        <w:spacing w:line="240" w:lineRule="auto"/>
        <w:rPr>
          <w:b/>
          <w:sz w:val="24"/>
        </w:rPr>
      </w:pPr>
    </w:p>
    <w:p w:rsidRPr="009A7BAA" w:rsidR="001A7DC5" w:rsidP="00C76717" w:rsidRDefault="001A7DC5" w14:paraId="0CD60321" w14:textId="77777777">
      <w:pPr>
        <w:spacing w:line="240" w:lineRule="auto"/>
        <w:jc w:val="left"/>
        <w:rPr>
          <w:b/>
          <w:sz w:val="24"/>
        </w:rPr>
      </w:pPr>
      <w:r w:rsidRPr="009A7BAA">
        <w:rPr>
          <w:b/>
          <w:sz w:val="24"/>
        </w:rPr>
        <w:br w:type="page"/>
      </w:r>
    </w:p>
    <w:p w:rsidRPr="009A7BAA" w:rsidR="001A7DC5" w:rsidP="00C76717" w:rsidRDefault="001A7DC5" w14:paraId="0942BF17" w14:textId="77777777">
      <w:pPr>
        <w:spacing w:line="240" w:lineRule="auto"/>
        <w:rPr>
          <w:b/>
          <w:sz w:val="24"/>
        </w:rPr>
      </w:pPr>
      <w:r w:rsidRPr="009A7BAA">
        <w:rPr>
          <w:b/>
          <w:sz w:val="24"/>
        </w:rPr>
        <w:lastRenderedPageBreak/>
        <w:t>Dispuso:</w:t>
      </w:r>
    </w:p>
    <w:p w:rsidRPr="009A7BAA" w:rsidR="001A7DC5" w:rsidP="00C76717" w:rsidRDefault="001A7DC5" w14:paraId="60A98E60" w14:textId="77777777">
      <w:pPr>
        <w:spacing w:line="240" w:lineRule="auto"/>
        <w:rPr>
          <w:b/>
          <w:sz w:val="24"/>
        </w:rPr>
      </w:pPr>
    </w:p>
    <w:p w:rsidRPr="009A7BAA" w:rsidR="001A7DC5" w:rsidP="00C76717" w:rsidRDefault="001A7DC5" w14:paraId="63C7DB7B" w14:textId="77777777">
      <w:pPr>
        <w:pStyle w:val="Prrafodelista"/>
        <w:numPr>
          <w:ilvl w:val="0"/>
          <w:numId w:val="10"/>
        </w:numPr>
        <w:ind w:left="426" w:right="191" w:hanging="426"/>
        <w:jc w:val="both"/>
        <w:rPr>
          <w:rFonts w:ascii="Cambria" w:hAnsi="Cambria"/>
          <w:bCs/>
        </w:rPr>
      </w:pPr>
      <w:r w:rsidRPr="009A7BAA">
        <w:rPr>
          <w:rFonts w:ascii="Cambria" w:hAnsi="Cambria"/>
          <w:bCs/>
        </w:rPr>
        <w:t>Adicionar, a la tabla Tipo_Indicador_Generador_Divisas, los códigos 5, 6, 7 y 8, según lo acordado por el CONASSIF en sesión #1752-09 en torno al Acuerdo SUGEF 1-05 e inclusión de nuevas validaciones que entrarán en vigor con la carga de información crediticia con corte a enero de 2023.</w:t>
      </w:r>
    </w:p>
    <w:p w:rsidRPr="009A7BAA" w:rsidR="001A7DC5" w:rsidP="00C76717" w:rsidRDefault="001A7DC5" w14:paraId="053BD906" w14:textId="77777777">
      <w:pPr>
        <w:spacing w:line="240" w:lineRule="auto"/>
        <w:ind w:left="284" w:right="191" w:hanging="284"/>
        <w:rPr>
          <w:b/>
          <w:sz w:val="24"/>
        </w:rPr>
      </w:pPr>
    </w:p>
    <w:p w:rsidRPr="009A7BAA" w:rsidR="001A7DC5" w:rsidP="00C76717" w:rsidRDefault="001A7DC5" w14:paraId="64017EC3" w14:textId="77777777">
      <w:pPr>
        <w:pStyle w:val="Prrafodelista"/>
        <w:numPr>
          <w:ilvl w:val="0"/>
          <w:numId w:val="5"/>
        </w:numPr>
        <w:ind w:left="851" w:hanging="425"/>
        <w:jc w:val="both"/>
        <w:rPr>
          <w:rFonts w:ascii="Cambria" w:hAnsi="Cambria"/>
          <w:bCs/>
        </w:rPr>
      </w:pPr>
      <w:r w:rsidRPr="009A7BAA">
        <w:rPr>
          <w:rFonts w:ascii="Cambria" w:hAnsi="Cambria"/>
          <w:bCs/>
        </w:rPr>
        <w:t>La tabla Tipo_Indicador_Generador_Divisas actualizada es la siguiente:</w:t>
      </w:r>
    </w:p>
    <w:p w:rsidRPr="009A7BAA" w:rsidR="001A7DC5" w:rsidP="00C76717" w:rsidRDefault="001A7DC5" w14:paraId="2868F8E6" w14:textId="77777777">
      <w:pPr>
        <w:spacing w:line="240" w:lineRule="auto"/>
        <w:rPr>
          <w:b/>
          <w:bCs/>
          <w:sz w:val="24"/>
          <w:lang w:val="es-ES_tradnl" w:eastAsia="es-CR"/>
        </w:rPr>
      </w:pPr>
    </w:p>
    <w:tbl>
      <w:tblPr>
        <w:tblW w:w="8789" w:type="dxa"/>
        <w:tblCellMar>
          <w:left w:w="0" w:type="dxa"/>
          <w:right w:w="0" w:type="dxa"/>
        </w:tblCellMar>
        <w:tblLook w:val="04A0" w:firstRow="1" w:lastRow="0" w:firstColumn="1" w:lastColumn="0" w:noHBand="0" w:noVBand="1"/>
      </w:tblPr>
      <w:tblGrid>
        <w:gridCol w:w="1216"/>
        <w:gridCol w:w="1903"/>
        <w:gridCol w:w="1216"/>
        <w:gridCol w:w="4454"/>
      </w:tblGrid>
      <w:tr w:rsidRPr="009A7BAA" w:rsidR="001A7DC5" w:rsidTr="008E2384" w14:paraId="5594B7DC" w14:textId="77777777">
        <w:trPr>
          <w:trHeight w:val="300"/>
          <w:tblHeader/>
        </w:trPr>
        <w:tc>
          <w:tcPr>
            <w:tcW w:w="1216" w:type="dxa"/>
            <w:tcBorders>
              <w:top w:val="single" w:color="auto" w:sz="8" w:space="0"/>
              <w:left w:val="single" w:color="auto" w:sz="8" w:space="0"/>
              <w:bottom w:val="single" w:color="auto" w:sz="8" w:space="0"/>
              <w:right w:val="single" w:color="auto" w:sz="8" w:space="0"/>
            </w:tcBorders>
            <w:shd w:val="clear" w:color="auto" w:fill="002060"/>
            <w:noWrap/>
            <w:tcMar>
              <w:top w:w="0" w:type="dxa"/>
              <w:left w:w="70" w:type="dxa"/>
              <w:bottom w:w="0" w:type="dxa"/>
              <w:right w:w="70" w:type="dxa"/>
            </w:tcMar>
            <w:vAlign w:val="center"/>
            <w:hideMark/>
          </w:tcPr>
          <w:p w:rsidRPr="009A7BAA" w:rsidR="001A7DC5" w:rsidP="00C76717" w:rsidRDefault="001A7DC5" w14:paraId="5E216545" w14:textId="77777777">
            <w:pPr>
              <w:spacing w:line="240" w:lineRule="auto"/>
              <w:jc w:val="center"/>
              <w:rPr>
                <w:b/>
                <w:bCs/>
                <w:sz w:val="24"/>
                <w:lang w:val="es-ES_tradnl" w:eastAsia="es-CR"/>
              </w:rPr>
            </w:pPr>
            <w:r w:rsidRPr="009A7BAA">
              <w:rPr>
                <w:b/>
                <w:bCs/>
                <w:sz w:val="24"/>
                <w:lang w:val="es-ES_tradnl" w:eastAsia="es-CR"/>
              </w:rPr>
              <w:t>CODIGO</w:t>
            </w:r>
          </w:p>
        </w:tc>
        <w:tc>
          <w:tcPr>
            <w:tcW w:w="1903" w:type="dxa"/>
            <w:tcBorders>
              <w:top w:val="single" w:color="auto" w:sz="8" w:space="0"/>
              <w:left w:val="nil"/>
              <w:bottom w:val="single" w:color="auto" w:sz="8" w:space="0"/>
              <w:right w:val="single" w:color="auto" w:sz="8" w:space="0"/>
            </w:tcBorders>
            <w:shd w:val="clear" w:color="auto" w:fill="002060"/>
            <w:tcMar>
              <w:top w:w="0" w:type="dxa"/>
              <w:left w:w="70" w:type="dxa"/>
              <w:bottom w:w="0" w:type="dxa"/>
              <w:right w:w="70" w:type="dxa"/>
            </w:tcMar>
            <w:vAlign w:val="center"/>
            <w:hideMark/>
          </w:tcPr>
          <w:p w:rsidRPr="009A7BAA" w:rsidR="001A7DC5" w:rsidP="00C76717" w:rsidRDefault="001A7DC5" w14:paraId="4237007A" w14:textId="77777777">
            <w:pPr>
              <w:spacing w:line="240" w:lineRule="auto"/>
              <w:jc w:val="center"/>
              <w:rPr>
                <w:b/>
                <w:bCs/>
                <w:sz w:val="24"/>
                <w:lang w:val="es-ES_tradnl" w:eastAsia="es-CR"/>
              </w:rPr>
            </w:pPr>
            <w:r w:rsidRPr="009A7BAA">
              <w:rPr>
                <w:b/>
                <w:bCs/>
                <w:color w:val="FFFFFF"/>
                <w:sz w:val="24"/>
                <w:lang w:val="es-ES_tradnl" w:eastAsia="es-CR"/>
              </w:rPr>
              <w:t>DESCRIPCION</w:t>
            </w:r>
          </w:p>
        </w:tc>
        <w:tc>
          <w:tcPr>
            <w:tcW w:w="1216" w:type="dxa"/>
            <w:tcBorders>
              <w:top w:val="single" w:color="auto" w:sz="8" w:space="0"/>
              <w:left w:val="nil"/>
              <w:bottom w:val="single" w:color="auto" w:sz="8" w:space="0"/>
              <w:right w:val="single" w:color="auto" w:sz="8" w:space="0"/>
            </w:tcBorders>
            <w:shd w:val="clear" w:color="auto" w:fill="002060"/>
            <w:noWrap/>
            <w:tcMar>
              <w:top w:w="0" w:type="dxa"/>
              <w:left w:w="70" w:type="dxa"/>
              <w:bottom w:w="0" w:type="dxa"/>
              <w:right w:w="70" w:type="dxa"/>
            </w:tcMar>
            <w:vAlign w:val="center"/>
            <w:hideMark/>
          </w:tcPr>
          <w:p w:rsidRPr="009A7BAA" w:rsidR="001A7DC5" w:rsidP="00C76717" w:rsidRDefault="001A7DC5" w14:paraId="531A1E30" w14:textId="77777777">
            <w:pPr>
              <w:spacing w:line="240" w:lineRule="auto"/>
              <w:jc w:val="center"/>
              <w:rPr>
                <w:b/>
                <w:bCs/>
                <w:sz w:val="24"/>
                <w:lang w:val="es-ES_tradnl" w:eastAsia="es-CR"/>
              </w:rPr>
            </w:pPr>
            <w:r w:rsidRPr="009A7BAA">
              <w:rPr>
                <w:b/>
                <w:bCs/>
                <w:color w:val="FFFFFF"/>
                <w:sz w:val="24"/>
                <w:lang w:val="es-ES_tradnl" w:eastAsia="es-CR"/>
              </w:rPr>
              <w:t>ACTIVO</w:t>
            </w:r>
          </w:p>
        </w:tc>
        <w:tc>
          <w:tcPr>
            <w:tcW w:w="4454" w:type="dxa"/>
            <w:tcBorders>
              <w:top w:val="single" w:color="auto" w:sz="8" w:space="0"/>
              <w:left w:val="nil"/>
              <w:bottom w:val="single" w:color="auto" w:sz="8" w:space="0"/>
              <w:right w:val="single" w:color="auto" w:sz="8" w:space="0"/>
            </w:tcBorders>
            <w:shd w:val="clear" w:color="auto" w:fill="002060"/>
            <w:noWrap/>
            <w:tcMar>
              <w:top w:w="0" w:type="dxa"/>
              <w:left w:w="70" w:type="dxa"/>
              <w:bottom w:w="0" w:type="dxa"/>
              <w:right w:w="70" w:type="dxa"/>
            </w:tcMar>
            <w:vAlign w:val="center"/>
            <w:hideMark/>
          </w:tcPr>
          <w:p w:rsidRPr="009A7BAA" w:rsidR="001A7DC5" w:rsidP="00C76717" w:rsidRDefault="001A7DC5" w14:paraId="2C04F76C" w14:textId="77777777">
            <w:pPr>
              <w:spacing w:line="240" w:lineRule="auto"/>
              <w:jc w:val="center"/>
              <w:rPr>
                <w:b/>
                <w:bCs/>
                <w:sz w:val="24"/>
                <w:lang w:val="es-ES_tradnl" w:eastAsia="es-CR"/>
              </w:rPr>
            </w:pPr>
            <w:r w:rsidRPr="009A7BAA">
              <w:rPr>
                <w:b/>
                <w:bCs/>
                <w:color w:val="FFFFFF"/>
                <w:sz w:val="24"/>
                <w:lang w:val="es-ES_tradnl" w:eastAsia="es-CR"/>
              </w:rPr>
              <w:t>OBSERVACIONES</w:t>
            </w:r>
          </w:p>
        </w:tc>
      </w:tr>
      <w:tr w:rsidRPr="009A7BAA" w:rsidR="001A7DC5" w:rsidTr="008E2384" w14:paraId="56E0D4D8" w14:textId="77777777">
        <w:trPr>
          <w:trHeight w:val="570"/>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455E53A8" w14:textId="77777777">
            <w:pPr>
              <w:spacing w:line="240" w:lineRule="auto"/>
              <w:jc w:val="center"/>
              <w:rPr>
                <w:sz w:val="24"/>
                <w:lang w:val="es-ES_tradnl" w:eastAsia="es-CR"/>
              </w:rPr>
            </w:pPr>
            <w:r w:rsidRPr="009A7BAA">
              <w:rPr>
                <w:sz w:val="24"/>
                <w:lang w:val="es-ES_tradnl" w:eastAsia="es-CR"/>
              </w:rPr>
              <w:t>0</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4EBC1A9D" w14:textId="77777777">
            <w:pPr>
              <w:spacing w:line="240" w:lineRule="auto"/>
              <w:jc w:val="center"/>
              <w:rPr>
                <w:sz w:val="24"/>
                <w:lang w:val="es-ES_tradnl" w:eastAsia="es-CR"/>
              </w:rPr>
            </w:pPr>
            <w:r w:rsidRPr="009A7BAA">
              <w:rPr>
                <w:sz w:val="24"/>
                <w:lang w:val="es-ES_tradnl" w:eastAsia="es-CR"/>
              </w:rPr>
              <w:t>Aplica otra normativa.</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2155D6EC" w14:textId="77777777">
            <w:pPr>
              <w:spacing w:line="240" w:lineRule="auto"/>
              <w:jc w:val="center"/>
              <w:rPr>
                <w:sz w:val="24"/>
                <w:lang w:val="es-ES_tradnl" w:eastAsia="es-CR"/>
              </w:rPr>
            </w:pPr>
            <w:r w:rsidRPr="009A7BAA">
              <w:rPr>
                <w:sz w:val="24"/>
                <w:lang w:val="es-ES_tradnl" w:eastAsia="es-CR"/>
              </w:rPr>
              <w:t>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7522E60F" w14:textId="77777777">
            <w:pPr>
              <w:spacing w:line="240" w:lineRule="auto"/>
              <w:rPr>
                <w:sz w:val="24"/>
                <w:lang w:val="es-ES_tradnl" w:eastAsia="es-CR"/>
              </w:rPr>
            </w:pPr>
            <w:r w:rsidRPr="009A7BAA">
              <w:rPr>
                <w:sz w:val="24"/>
                <w:lang w:val="es-ES_tradnl" w:eastAsia="es-CR"/>
              </w:rPr>
              <w:t>Cuando el deudor solo presente operaciones que le aplican el Acuerdo  SUGEF 15-16.</w:t>
            </w:r>
          </w:p>
        </w:tc>
      </w:tr>
      <w:tr w:rsidRPr="009A7BAA" w:rsidR="001A7DC5" w:rsidTr="008E2384" w14:paraId="3DFCEAFF" w14:textId="77777777">
        <w:trPr>
          <w:trHeight w:val="300"/>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0A524501" w14:textId="77777777">
            <w:pPr>
              <w:spacing w:line="240" w:lineRule="auto"/>
              <w:jc w:val="center"/>
              <w:rPr>
                <w:sz w:val="24"/>
                <w:lang w:val="es-ES_tradnl" w:eastAsia="es-CR"/>
              </w:rPr>
            </w:pPr>
            <w:r w:rsidRPr="009A7BAA">
              <w:rPr>
                <w:sz w:val="24"/>
                <w:lang w:val="es-ES_tradnl" w:eastAsia="es-CR"/>
              </w:rPr>
              <w:t>1</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112DE55F" w14:textId="77777777">
            <w:pPr>
              <w:spacing w:line="240" w:lineRule="auto"/>
              <w:jc w:val="center"/>
              <w:rPr>
                <w:sz w:val="24"/>
                <w:lang w:val="es-ES_tradnl" w:eastAsia="es-CR"/>
              </w:rPr>
            </w:pPr>
            <w:r w:rsidRPr="009A7BAA">
              <w:rPr>
                <w:sz w:val="24"/>
                <w:lang w:val="es-ES_tradnl" w:eastAsia="es-CR"/>
              </w:rPr>
              <w:t>Es generador</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28C53538" w14:textId="77777777">
            <w:pPr>
              <w:spacing w:line="240" w:lineRule="auto"/>
              <w:jc w:val="center"/>
              <w:rPr>
                <w:sz w:val="24"/>
                <w:lang w:val="es-ES_tradnl" w:eastAsia="es-CR"/>
              </w:rPr>
            </w:pPr>
            <w:r w:rsidRPr="009A7BAA">
              <w:rPr>
                <w:sz w:val="24"/>
                <w:lang w:val="es-ES_tradnl" w:eastAsia="es-CR"/>
              </w:rPr>
              <w:t>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309778AA" w14:textId="77777777">
            <w:pPr>
              <w:spacing w:line="240" w:lineRule="auto"/>
              <w:rPr>
                <w:sz w:val="24"/>
                <w:lang w:val="es-ES_tradnl" w:eastAsia="es-CR"/>
              </w:rPr>
            </w:pPr>
            <w:r w:rsidRPr="009A7BAA">
              <w:rPr>
                <w:sz w:val="24"/>
                <w:lang w:val="es-ES_tradnl" w:eastAsia="es-CR"/>
              </w:rPr>
              <w:t>Generador de moneda extranjera</w:t>
            </w:r>
          </w:p>
        </w:tc>
      </w:tr>
      <w:tr w:rsidRPr="009A7BAA" w:rsidR="001A7DC5" w:rsidTr="008E2384" w14:paraId="35525666" w14:textId="77777777">
        <w:trPr>
          <w:trHeight w:val="570"/>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2AD01F4A" w14:textId="77777777">
            <w:pPr>
              <w:spacing w:line="240" w:lineRule="auto"/>
              <w:jc w:val="center"/>
              <w:rPr>
                <w:sz w:val="24"/>
                <w:lang w:val="es-ES_tradnl" w:eastAsia="es-CR"/>
              </w:rPr>
            </w:pPr>
            <w:r w:rsidRPr="009A7BAA">
              <w:rPr>
                <w:sz w:val="24"/>
                <w:lang w:val="es-ES_tradnl" w:eastAsia="es-CR"/>
              </w:rPr>
              <w:t>2</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0D4D2DE1" w14:textId="77777777">
            <w:pPr>
              <w:spacing w:line="240" w:lineRule="auto"/>
              <w:jc w:val="center"/>
              <w:rPr>
                <w:sz w:val="24"/>
                <w:lang w:val="es-ES_tradnl" w:eastAsia="es-CR"/>
              </w:rPr>
            </w:pPr>
            <w:r w:rsidRPr="009A7BAA">
              <w:rPr>
                <w:sz w:val="24"/>
                <w:lang w:val="es-ES_tradnl" w:eastAsia="es-CR"/>
              </w:rPr>
              <w:t>Es No generador de bajo riesgo</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64E5DBF7" w14:textId="77777777">
            <w:pPr>
              <w:spacing w:line="240" w:lineRule="auto"/>
              <w:jc w:val="center"/>
              <w:rPr>
                <w:sz w:val="24"/>
                <w:lang w:val="es-ES_tradnl" w:eastAsia="es-CR"/>
              </w:rPr>
            </w:pPr>
            <w:r w:rsidRPr="009A7BAA">
              <w:rPr>
                <w:sz w:val="24"/>
                <w:lang w:val="es-ES_tradnl" w:eastAsia="es-CR"/>
              </w:rPr>
              <w:t>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61347AA8" w14:textId="77777777">
            <w:pPr>
              <w:spacing w:line="240" w:lineRule="auto"/>
              <w:rPr>
                <w:sz w:val="24"/>
                <w:lang w:val="es-ES_tradnl" w:eastAsia="es-CR"/>
              </w:rPr>
            </w:pPr>
            <w:r w:rsidRPr="009A7BAA">
              <w:rPr>
                <w:sz w:val="24"/>
                <w:lang w:val="es-ES_tradnl" w:eastAsia="es-CR"/>
              </w:rPr>
              <w:t>No Generador de moneda extranjera de bajo riesgo</w:t>
            </w:r>
          </w:p>
        </w:tc>
      </w:tr>
      <w:tr w:rsidRPr="009A7BAA" w:rsidR="001A7DC5" w:rsidTr="008E2384" w14:paraId="65423F7C" w14:textId="77777777">
        <w:trPr>
          <w:trHeight w:val="763"/>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32C958F4" w14:textId="77777777">
            <w:pPr>
              <w:spacing w:line="240" w:lineRule="auto"/>
              <w:jc w:val="center"/>
              <w:rPr>
                <w:sz w:val="24"/>
                <w:lang w:val="es-ES_tradnl" w:eastAsia="es-CR"/>
              </w:rPr>
            </w:pPr>
            <w:r w:rsidRPr="009A7BAA">
              <w:rPr>
                <w:sz w:val="24"/>
                <w:lang w:val="es-ES_tradnl" w:eastAsia="es-CR"/>
              </w:rPr>
              <w:t>3</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71665092" w14:textId="77777777">
            <w:pPr>
              <w:spacing w:line="240" w:lineRule="auto"/>
              <w:jc w:val="center"/>
              <w:rPr>
                <w:sz w:val="24"/>
                <w:lang w:val="es-ES_tradnl" w:eastAsia="es-CR"/>
              </w:rPr>
            </w:pPr>
            <w:r w:rsidRPr="009A7BAA">
              <w:rPr>
                <w:sz w:val="24"/>
                <w:lang w:val="es-ES_tradnl" w:eastAsia="es-CR"/>
              </w:rPr>
              <w:t>Es No generador de alto riesgo</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7D2DD943" w14:textId="77777777">
            <w:pPr>
              <w:spacing w:line="240" w:lineRule="auto"/>
              <w:jc w:val="center"/>
              <w:rPr>
                <w:sz w:val="24"/>
                <w:lang w:val="es-ES_tradnl" w:eastAsia="es-CR"/>
              </w:rPr>
            </w:pPr>
            <w:r w:rsidRPr="009A7BAA">
              <w:rPr>
                <w:sz w:val="24"/>
                <w:lang w:val="es-ES_tradnl" w:eastAsia="es-CR"/>
              </w:rPr>
              <w:t>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62F4D2A7" w14:textId="77777777">
            <w:pPr>
              <w:spacing w:line="240" w:lineRule="auto"/>
              <w:rPr>
                <w:sz w:val="24"/>
                <w:lang w:val="es-ES_tradnl" w:eastAsia="es-CR"/>
              </w:rPr>
            </w:pPr>
            <w:r w:rsidRPr="009A7BAA">
              <w:rPr>
                <w:sz w:val="24"/>
                <w:lang w:val="es-ES_tradnl" w:eastAsia="es-CR"/>
              </w:rPr>
              <w:t>No Generador de moneda extranjera de alto riesgo</w:t>
            </w:r>
          </w:p>
        </w:tc>
      </w:tr>
      <w:tr w:rsidRPr="009A7BAA" w:rsidR="001A7DC5" w:rsidTr="008E2384" w14:paraId="77DF5B5A" w14:textId="77777777">
        <w:trPr>
          <w:trHeight w:val="694"/>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398A6AB0" w14:textId="77777777">
            <w:pPr>
              <w:spacing w:line="240" w:lineRule="auto"/>
              <w:jc w:val="center"/>
              <w:rPr>
                <w:sz w:val="24"/>
                <w:lang w:val="es-ES_tradnl" w:eastAsia="es-CR"/>
              </w:rPr>
            </w:pPr>
            <w:r w:rsidRPr="009A7BAA">
              <w:rPr>
                <w:sz w:val="24"/>
                <w:lang w:val="es-ES_tradnl" w:eastAsia="es-CR"/>
              </w:rPr>
              <w:t>4</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0E2BB855" w14:textId="77777777">
            <w:pPr>
              <w:spacing w:line="240" w:lineRule="auto"/>
              <w:jc w:val="center"/>
              <w:rPr>
                <w:sz w:val="24"/>
                <w:lang w:val="es-ES_tradnl" w:eastAsia="es-CR"/>
              </w:rPr>
            </w:pPr>
            <w:r w:rsidRPr="009A7BAA">
              <w:rPr>
                <w:sz w:val="24"/>
                <w:lang w:val="es-ES_tradnl" w:eastAsia="es-CR"/>
              </w:rPr>
              <w:t>No Aplica</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3E4B58EA" w14:textId="77777777">
            <w:pPr>
              <w:spacing w:line="240" w:lineRule="auto"/>
              <w:jc w:val="center"/>
              <w:rPr>
                <w:sz w:val="24"/>
                <w:lang w:val="es-ES_tradnl" w:eastAsia="es-CR"/>
              </w:rPr>
            </w:pPr>
            <w:r w:rsidRPr="009A7BAA">
              <w:rPr>
                <w:sz w:val="24"/>
                <w:lang w:val="es-ES_tradnl" w:eastAsia="es-CR"/>
              </w:rPr>
              <w:t>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6B9EE026" w14:textId="77777777">
            <w:pPr>
              <w:spacing w:line="240" w:lineRule="auto"/>
              <w:jc w:val="left"/>
              <w:rPr>
                <w:sz w:val="24"/>
                <w:lang w:val="es-ES_tradnl" w:eastAsia="es-CR"/>
              </w:rPr>
            </w:pPr>
            <w:r w:rsidRPr="009A7BAA">
              <w:rPr>
                <w:sz w:val="24"/>
                <w:lang w:val="es-ES_tradnl" w:eastAsia="es-CR"/>
              </w:rPr>
              <w:t>Únicamente para las operaciones formalizadas antes de la entrada en vigor de los nuevos cambios al Acuerdo SUGEF 1-05.</w:t>
            </w:r>
            <w:r w:rsidRPr="009A7BAA">
              <w:rPr>
                <w:sz w:val="24"/>
                <w:lang w:val="es-ES_tradnl" w:eastAsia="es-CR"/>
              </w:rPr>
              <w:br/>
              <w:t>Se debe aplicar el concepto anterior a la modificación del Acuerdo SUGEF 1-05 (publicada en el Alcance 100 del Diario Oficial La Gaceta del 17 de junio de 2016, vigente a partir del 17 de setiembre de 2016) para aquellos deudores que tienen operaciones vigentes otorgadas con el Acuerdo SUGEF 1-05 y el Acuerdo SUGEF 15-10.</w:t>
            </w:r>
          </w:p>
          <w:p w:rsidRPr="009A7BAA" w:rsidR="001A7DC5" w:rsidP="00C76717" w:rsidRDefault="001A7DC5" w14:paraId="4909F529" w14:textId="77777777">
            <w:pPr>
              <w:spacing w:line="240" w:lineRule="auto"/>
              <w:jc w:val="left"/>
              <w:rPr>
                <w:sz w:val="24"/>
                <w:lang w:val="es-ES_tradnl" w:eastAsia="es-CR"/>
              </w:rPr>
            </w:pPr>
          </w:p>
          <w:p w:rsidRPr="009A7BAA" w:rsidR="001A7DC5" w:rsidP="00C76717" w:rsidRDefault="001A7DC5" w14:paraId="1E0EFA57" w14:textId="77777777">
            <w:pPr>
              <w:spacing w:line="240" w:lineRule="auto"/>
              <w:rPr>
                <w:color w:val="00B050"/>
                <w:sz w:val="24"/>
                <w:lang w:val="es-ES_tradnl" w:eastAsia="es-CR"/>
              </w:rPr>
            </w:pPr>
            <w:r w:rsidRPr="009A7BAA">
              <w:rPr>
                <w:color w:val="00B050"/>
                <w:sz w:val="24"/>
                <w:lang w:val="es-ES_tradnl" w:eastAsia="es-CR"/>
              </w:rPr>
              <w:t>A partir de enero 2023, corresponde a deudores en las que todas sus operaciones les aplica el Reglamento para la calificación de deudores (Acuerdo SUGEF 1-05) y las mismas están formalizadas en moneda nacional.</w:t>
            </w:r>
          </w:p>
          <w:p w:rsidRPr="009A7BAA" w:rsidR="001A7DC5" w:rsidP="00C76717" w:rsidRDefault="001A7DC5" w14:paraId="3FA6AA48" w14:textId="77777777">
            <w:pPr>
              <w:spacing w:line="240" w:lineRule="auto"/>
              <w:rPr>
                <w:strike/>
                <w:sz w:val="24"/>
                <w:lang w:val="es-ES_tradnl" w:eastAsia="es-CR"/>
              </w:rPr>
            </w:pPr>
          </w:p>
        </w:tc>
      </w:tr>
      <w:tr w:rsidRPr="009A7BAA" w:rsidR="001A7DC5" w:rsidTr="008E2384" w14:paraId="538B513E" w14:textId="77777777">
        <w:trPr>
          <w:trHeight w:val="300"/>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4EC08BAC" w14:textId="77777777">
            <w:pPr>
              <w:spacing w:line="240" w:lineRule="auto"/>
              <w:jc w:val="center"/>
              <w:rPr>
                <w:color w:val="00B050"/>
                <w:sz w:val="24"/>
                <w:lang w:val="es-ES_tradnl" w:eastAsia="es-CR"/>
              </w:rPr>
            </w:pPr>
            <w:r w:rsidRPr="009A7BAA">
              <w:rPr>
                <w:color w:val="00B050"/>
                <w:sz w:val="24"/>
                <w:lang w:val="es-ES_tradnl" w:eastAsia="es-CR"/>
              </w:rPr>
              <w:t>5</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4BBB289D" w14:textId="77777777">
            <w:pPr>
              <w:spacing w:line="240" w:lineRule="auto"/>
              <w:jc w:val="center"/>
              <w:rPr>
                <w:color w:val="00B050"/>
                <w:sz w:val="24"/>
                <w:lang w:eastAsia="es-CR"/>
              </w:rPr>
            </w:pPr>
            <w:r w:rsidRPr="009A7BAA">
              <w:rPr>
                <w:color w:val="00B050"/>
                <w:sz w:val="24"/>
                <w:lang w:eastAsia="es-CR"/>
              </w:rPr>
              <w:t>Sin exposición a riesgo cambiario (cobertura natural.)</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6611F4C9" w14:textId="77777777">
            <w:pPr>
              <w:spacing w:line="240" w:lineRule="auto"/>
              <w:jc w:val="center"/>
              <w:rPr>
                <w:color w:val="00B050"/>
                <w:sz w:val="24"/>
                <w:lang w:val="es-ES_tradnl" w:eastAsia="es-CR"/>
              </w:rPr>
            </w:pPr>
            <w:r w:rsidRPr="009A7BAA">
              <w:rPr>
                <w:color w:val="00B050"/>
                <w:sz w:val="24"/>
                <w:lang w:val="es-ES_tradnl" w:eastAsia="es-CR"/>
              </w:rPr>
              <w:t> 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59E8B67C" w14:textId="77777777">
            <w:pPr>
              <w:spacing w:line="240" w:lineRule="auto"/>
              <w:rPr>
                <w:color w:val="00B050"/>
                <w:sz w:val="24"/>
                <w:lang w:eastAsia="es-CR"/>
              </w:rPr>
            </w:pPr>
            <w:r w:rsidRPr="009A7BAA">
              <w:rPr>
                <w:color w:val="00B050"/>
                <w:sz w:val="24"/>
                <w:lang w:eastAsia="es-CR"/>
              </w:rPr>
              <w:t xml:space="preserve">Deudor sin exposición a riesgo cambiario cobertura natural. </w:t>
            </w:r>
          </w:p>
          <w:p w:rsidRPr="009A7BAA" w:rsidR="001A7DC5" w:rsidP="00C76717" w:rsidRDefault="001A7DC5" w14:paraId="4FAD895D" w14:textId="77777777">
            <w:pPr>
              <w:spacing w:line="240" w:lineRule="auto"/>
              <w:rPr>
                <w:color w:val="00B050"/>
                <w:sz w:val="24"/>
                <w:lang w:val="es-ES_tradnl" w:eastAsia="es-CR"/>
              </w:rPr>
            </w:pPr>
            <w:r w:rsidRPr="009A7BAA">
              <w:rPr>
                <w:color w:val="00B050"/>
                <w:sz w:val="24"/>
                <w:lang w:val="es-ES_tradnl" w:eastAsia="es-CR"/>
              </w:rPr>
              <w:t>Transitorio XXIV del Acuerdo SUGEF 1-05.</w:t>
            </w:r>
          </w:p>
          <w:p w:rsidRPr="009A7BAA" w:rsidR="001A7DC5" w:rsidP="00C76717" w:rsidRDefault="001A7DC5" w14:paraId="4F7B9837" w14:textId="77777777">
            <w:pPr>
              <w:spacing w:line="240" w:lineRule="auto"/>
              <w:rPr>
                <w:color w:val="00B050"/>
                <w:sz w:val="24"/>
                <w:lang w:val="es-ES_tradnl" w:eastAsia="es-CR"/>
              </w:rPr>
            </w:pPr>
            <w:r w:rsidRPr="009A7BAA">
              <w:rPr>
                <w:color w:val="00B050"/>
                <w:sz w:val="24"/>
                <w:lang w:val="es-ES_tradnl" w:eastAsia="es-CR"/>
              </w:rPr>
              <w:t>Para su clasificación, se debe aplicar la definición correspondiente establecida en el artículo 3 del Acuerdo SUGEF 2-10.</w:t>
            </w:r>
          </w:p>
        </w:tc>
      </w:tr>
      <w:tr w:rsidRPr="009A7BAA" w:rsidR="001A7DC5" w:rsidTr="008E2384" w14:paraId="4F2C3D1E" w14:textId="77777777">
        <w:trPr>
          <w:trHeight w:val="300"/>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22B89A81" w14:textId="77777777">
            <w:pPr>
              <w:spacing w:line="240" w:lineRule="auto"/>
              <w:jc w:val="center"/>
              <w:rPr>
                <w:color w:val="00B050"/>
                <w:sz w:val="24"/>
                <w:lang w:val="es-ES_tradnl" w:eastAsia="es-CR"/>
              </w:rPr>
            </w:pPr>
            <w:r w:rsidRPr="009A7BAA">
              <w:rPr>
                <w:color w:val="00B050"/>
                <w:sz w:val="24"/>
                <w:lang w:val="es-ES_tradnl" w:eastAsia="es-CR"/>
              </w:rPr>
              <w:t>6</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1F0C1EAE" w14:textId="77777777">
            <w:pPr>
              <w:spacing w:line="240" w:lineRule="auto"/>
              <w:jc w:val="center"/>
              <w:rPr>
                <w:color w:val="00B050"/>
                <w:sz w:val="24"/>
                <w:lang w:eastAsia="es-CR"/>
              </w:rPr>
            </w:pPr>
            <w:r w:rsidRPr="009A7BAA">
              <w:rPr>
                <w:color w:val="00B050"/>
                <w:sz w:val="24"/>
                <w:lang w:eastAsia="es-CR"/>
              </w:rPr>
              <w:t>Sin exposición a riesgo cambiario (cobertura financiera.)</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2F01CE8E" w14:textId="77777777">
            <w:pPr>
              <w:spacing w:line="240" w:lineRule="auto"/>
              <w:jc w:val="center"/>
              <w:rPr>
                <w:color w:val="00B050"/>
                <w:sz w:val="24"/>
                <w:lang w:val="es-ES_tradnl" w:eastAsia="es-CR"/>
              </w:rPr>
            </w:pPr>
            <w:r w:rsidRPr="009A7BAA">
              <w:rPr>
                <w:color w:val="00B050"/>
                <w:sz w:val="24"/>
                <w:lang w:val="es-ES_tradnl" w:eastAsia="es-CR"/>
              </w:rPr>
              <w:t> 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735DF327" w14:textId="77777777">
            <w:pPr>
              <w:spacing w:line="240" w:lineRule="auto"/>
              <w:rPr>
                <w:color w:val="00B050"/>
                <w:sz w:val="24"/>
                <w:lang w:eastAsia="es-CR"/>
              </w:rPr>
            </w:pPr>
            <w:r w:rsidRPr="009A7BAA">
              <w:rPr>
                <w:color w:val="00B050"/>
                <w:sz w:val="24"/>
                <w:lang w:eastAsia="es-CR"/>
              </w:rPr>
              <w:t>Deudor sin exposición a riesgo cambiario cobertura financiera.</w:t>
            </w:r>
          </w:p>
          <w:p w:rsidRPr="009A7BAA" w:rsidR="001A7DC5" w:rsidP="00C76717" w:rsidRDefault="001A7DC5" w14:paraId="764609A3" w14:textId="77777777">
            <w:pPr>
              <w:spacing w:line="240" w:lineRule="auto"/>
              <w:rPr>
                <w:color w:val="00B050"/>
                <w:sz w:val="24"/>
                <w:lang w:val="es-ES_tradnl" w:eastAsia="es-CR"/>
              </w:rPr>
            </w:pPr>
            <w:r w:rsidRPr="009A7BAA">
              <w:rPr>
                <w:color w:val="00B050"/>
                <w:sz w:val="24"/>
                <w:lang w:val="es-ES_tradnl" w:eastAsia="es-CR"/>
              </w:rPr>
              <w:t>Transitorio XXIV del Acuerdo SUGEF 1-05.</w:t>
            </w:r>
          </w:p>
          <w:p w:rsidRPr="009A7BAA" w:rsidR="001A7DC5" w:rsidP="00C76717" w:rsidRDefault="001A7DC5" w14:paraId="77ECB6C3" w14:textId="77777777">
            <w:pPr>
              <w:spacing w:line="240" w:lineRule="auto"/>
              <w:rPr>
                <w:color w:val="00B050"/>
                <w:sz w:val="24"/>
                <w:lang w:val="es-ES_tradnl" w:eastAsia="es-CR"/>
              </w:rPr>
            </w:pPr>
            <w:r w:rsidRPr="009A7BAA">
              <w:rPr>
                <w:color w:val="00B050"/>
                <w:sz w:val="24"/>
                <w:lang w:val="es-ES_tradnl" w:eastAsia="es-CR"/>
              </w:rPr>
              <w:t>Para su clasificación, se debe aplicar la definición correspondiente establecida en el artículo 3 del Acuerdo SUGEF 2-10.</w:t>
            </w:r>
          </w:p>
        </w:tc>
      </w:tr>
      <w:tr w:rsidRPr="009A7BAA" w:rsidR="001A7DC5" w:rsidTr="008E2384" w14:paraId="57D4BF11" w14:textId="77777777">
        <w:trPr>
          <w:trHeight w:val="300"/>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6F317F7D" w14:textId="77777777">
            <w:pPr>
              <w:spacing w:line="240" w:lineRule="auto"/>
              <w:jc w:val="center"/>
              <w:rPr>
                <w:color w:val="00B050"/>
                <w:sz w:val="24"/>
                <w:lang w:val="es-ES_tradnl" w:eastAsia="es-CR"/>
              </w:rPr>
            </w:pPr>
            <w:r w:rsidRPr="009A7BAA">
              <w:rPr>
                <w:color w:val="00B050"/>
                <w:sz w:val="24"/>
                <w:lang w:val="es-ES_tradnl" w:eastAsia="es-CR"/>
              </w:rPr>
              <w:lastRenderedPageBreak/>
              <w:t>7</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58F4C536" w14:textId="77777777">
            <w:pPr>
              <w:spacing w:line="240" w:lineRule="auto"/>
              <w:jc w:val="center"/>
              <w:rPr>
                <w:color w:val="00B050"/>
                <w:sz w:val="24"/>
                <w:lang w:val="es-ES_tradnl" w:eastAsia="es-CR"/>
              </w:rPr>
            </w:pPr>
            <w:r w:rsidRPr="009A7BAA">
              <w:rPr>
                <w:color w:val="00B050"/>
                <w:sz w:val="24"/>
                <w:lang w:eastAsia="es-CR"/>
              </w:rPr>
              <w:t xml:space="preserve">Sin exposición a riesgo cambiario (cobertura mixta.) </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413E8A8C" w14:textId="77777777">
            <w:pPr>
              <w:spacing w:line="240" w:lineRule="auto"/>
              <w:jc w:val="center"/>
              <w:rPr>
                <w:color w:val="00B050"/>
                <w:sz w:val="24"/>
                <w:lang w:val="es-ES_tradnl" w:eastAsia="es-CR"/>
              </w:rPr>
            </w:pPr>
            <w:r w:rsidRPr="009A7BAA">
              <w:rPr>
                <w:color w:val="00B050"/>
                <w:sz w:val="24"/>
                <w:lang w:val="es-ES_tradnl" w:eastAsia="es-CR"/>
              </w:rPr>
              <w:t> 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17560636" w14:textId="77777777">
            <w:pPr>
              <w:spacing w:line="240" w:lineRule="auto"/>
              <w:rPr>
                <w:color w:val="00B050"/>
                <w:sz w:val="24"/>
                <w:lang w:eastAsia="es-CR"/>
              </w:rPr>
            </w:pPr>
            <w:r w:rsidRPr="009A7BAA">
              <w:rPr>
                <w:color w:val="00B050"/>
                <w:sz w:val="24"/>
                <w:lang w:eastAsia="es-CR"/>
              </w:rPr>
              <w:t>Deudor sin exposición a riesgo cambiario cobertura mixta.</w:t>
            </w:r>
          </w:p>
          <w:p w:rsidRPr="009A7BAA" w:rsidR="001A7DC5" w:rsidP="00C76717" w:rsidRDefault="001A7DC5" w14:paraId="5A3907ED" w14:textId="77777777">
            <w:pPr>
              <w:spacing w:line="240" w:lineRule="auto"/>
              <w:rPr>
                <w:color w:val="00B050"/>
                <w:sz w:val="24"/>
                <w:lang w:val="es-ES_tradnl" w:eastAsia="es-CR"/>
              </w:rPr>
            </w:pPr>
            <w:r w:rsidRPr="009A7BAA">
              <w:rPr>
                <w:color w:val="00B050"/>
                <w:sz w:val="24"/>
                <w:lang w:val="es-ES_tradnl" w:eastAsia="es-CR"/>
              </w:rPr>
              <w:t>Transitorio XXIV del Acuerdo SUGEF 1-05.</w:t>
            </w:r>
          </w:p>
          <w:p w:rsidRPr="009A7BAA" w:rsidR="001A7DC5" w:rsidP="00C76717" w:rsidRDefault="001A7DC5" w14:paraId="58F205C8" w14:textId="77777777">
            <w:pPr>
              <w:spacing w:line="240" w:lineRule="auto"/>
              <w:rPr>
                <w:color w:val="00B050"/>
                <w:sz w:val="24"/>
                <w:lang w:val="es-ES_tradnl" w:eastAsia="es-CR"/>
              </w:rPr>
            </w:pPr>
            <w:r w:rsidRPr="009A7BAA">
              <w:rPr>
                <w:color w:val="00B050"/>
                <w:sz w:val="24"/>
                <w:lang w:val="es-ES_tradnl" w:eastAsia="es-CR"/>
              </w:rPr>
              <w:t>Para su clasificación se debe aplicar la definición correspondiente establecida en el artículo 3 del Acuerdo SUGEF 2-10.</w:t>
            </w:r>
          </w:p>
        </w:tc>
      </w:tr>
      <w:tr w:rsidRPr="009A7BAA" w:rsidR="001A7DC5" w:rsidTr="008E2384" w14:paraId="29DE66FE" w14:textId="77777777">
        <w:trPr>
          <w:trHeight w:val="300"/>
        </w:trPr>
        <w:tc>
          <w:tcPr>
            <w:tcW w:w="1216"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17B2E138" w14:textId="77777777">
            <w:pPr>
              <w:spacing w:line="240" w:lineRule="auto"/>
              <w:jc w:val="center"/>
              <w:rPr>
                <w:color w:val="00B050"/>
                <w:sz w:val="24"/>
                <w:lang w:val="es-ES_tradnl" w:eastAsia="es-CR"/>
              </w:rPr>
            </w:pPr>
            <w:r w:rsidRPr="009A7BAA">
              <w:rPr>
                <w:color w:val="00B050"/>
                <w:sz w:val="24"/>
                <w:lang w:val="es-ES_tradnl" w:eastAsia="es-CR"/>
              </w:rPr>
              <w:t>8</w:t>
            </w:r>
          </w:p>
        </w:tc>
        <w:tc>
          <w:tcPr>
            <w:tcW w:w="1903"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4476E65A" w14:textId="77777777">
            <w:pPr>
              <w:spacing w:line="240" w:lineRule="auto"/>
              <w:jc w:val="center"/>
              <w:rPr>
                <w:color w:val="00B050"/>
                <w:sz w:val="24"/>
                <w:lang w:val="es-ES_tradnl" w:eastAsia="es-CR"/>
              </w:rPr>
            </w:pPr>
            <w:r w:rsidRPr="009A7BAA">
              <w:rPr>
                <w:color w:val="00B050"/>
                <w:sz w:val="24"/>
                <w:lang w:eastAsia="es-CR"/>
              </w:rPr>
              <w:t xml:space="preserve">Con exposición a riesgo cambiario </w:t>
            </w:r>
          </w:p>
        </w:tc>
        <w:tc>
          <w:tcPr>
            <w:tcW w:w="1216"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9A7BAA" w:rsidR="001A7DC5" w:rsidP="00C76717" w:rsidRDefault="001A7DC5" w14:paraId="206FEFB3" w14:textId="77777777">
            <w:pPr>
              <w:spacing w:line="240" w:lineRule="auto"/>
              <w:jc w:val="center"/>
              <w:rPr>
                <w:color w:val="00B050"/>
                <w:sz w:val="24"/>
                <w:lang w:val="es-ES_tradnl" w:eastAsia="es-CR"/>
              </w:rPr>
            </w:pPr>
            <w:r w:rsidRPr="009A7BAA">
              <w:rPr>
                <w:color w:val="00B050"/>
                <w:sz w:val="24"/>
                <w:lang w:val="es-ES_tradnl" w:eastAsia="es-CR"/>
              </w:rPr>
              <w:t>1</w:t>
            </w:r>
          </w:p>
        </w:tc>
        <w:tc>
          <w:tcPr>
            <w:tcW w:w="445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A7BAA" w:rsidR="001A7DC5" w:rsidP="00C76717" w:rsidRDefault="001A7DC5" w14:paraId="014B7A2D" w14:textId="77777777">
            <w:pPr>
              <w:spacing w:line="240" w:lineRule="auto"/>
              <w:rPr>
                <w:color w:val="00B050"/>
                <w:sz w:val="24"/>
                <w:lang w:eastAsia="es-CR"/>
              </w:rPr>
            </w:pPr>
            <w:r w:rsidRPr="009A7BAA">
              <w:rPr>
                <w:color w:val="00B050"/>
                <w:sz w:val="24"/>
                <w:lang w:eastAsia="es-CR"/>
              </w:rPr>
              <w:t>Deudor con exposición a riesgo cambiario.</w:t>
            </w:r>
          </w:p>
          <w:p w:rsidRPr="009A7BAA" w:rsidR="001A7DC5" w:rsidP="00C76717" w:rsidRDefault="001A7DC5" w14:paraId="479AC326" w14:textId="77777777">
            <w:pPr>
              <w:spacing w:line="240" w:lineRule="auto"/>
              <w:rPr>
                <w:color w:val="00B050"/>
                <w:sz w:val="24"/>
                <w:lang w:val="es-ES_tradnl" w:eastAsia="es-CR"/>
              </w:rPr>
            </w:pPr>
            <w:r w:rsidRPr="009A7BAA">
              <w:rPr>
                <w:color w:val="00B050"/>
                <w:sz w:val="24"/>
                <w:lang w:val="es-ES_tradnl" w:eastAsia="es-CR"/>
              </w:rPr>
              <w:t>Transitorio XXIV del Acuerdo SUGEF 1-05.</w:t>
            </w:r>
          </w:p>
          <w:p w:rsidRPr="009A7BAA" w:rsidR="001A7DC5" w:rsidP="00C76717" w:rsidRDefault="001A7DC5" w14:paraId="173D687E" w14:textId="77777777">
            <w:pPr>
              <w:spacing w:line="240" w:lineRule="auto"/>
              <w:rPr>
                <w:color w:val="00B050"/>
                <w:sz w:val="24"/>
                <w:lang w:eastAsia="es-CR"/>
              </w:rPr>
            </w:pPr>
            <w:r w:rsidRPr="009A7BAA">
              <w:rPr>
                <w:color w:val="00B050"/>
                <w:sz w:val="24"/>
                <w:lang w:val="es-ES_tradnl" w:eastAsia="es-CR"/>
              </w:rPr>
              <w:t>Para su clasificación se debe aplicar la definición correspondiente establecida en el artículo 3 del Acuerdo SUGEF 2-10.</w:t>
            </w:r>
          </w:p>
        </w:tc>
      </w:tr>
    </w:tbl>
    <w:p w:rsidRPr="009A7BAA" w:rsidR="001A7DC5" w:rsidP="00C76717" w:rsidRDefault="001A7DC5" w14:paraId="5421E11C" w14:textId="77777777">
      <w:pPr>
        <w:spacing w:line="240" w:lineRule="auto"/>
        <w:rPr>
          <w:rFonts w:eastAsiaTheme="minorHAnsi"/>
          <w:sz w:val="24"/>
          <w:lang w:val="es-CR"/>
        </w:rPr>
      </w:pPr>
    </w:p>
    <w:p w:rsidRPr="009A7BAA" w:rsidR="001A7DC5" w:rsidP="00C76717" w:rsidRDefault="001A7DC5" w14:paraId="32C5C9E9" w14:textId="77777777">
      <w:pPr>
        <w:pStyle w:val="Prrafodelista"/>
        <w:numPr>
          <w:ilvl w:val="0"/>
          <w:numId w:val="5"/>
        </w:numPr>
        <w:ind w:left="851" w:hanging="425"/>
        <w:jc w:val="both"/>
        <w:rPr>
          <w:rFonts w:ascii="Cambria" w:hAnsi="Cambria"/>
        </w:rPr>
      </w:pPr>
      <w:r w:rsidRPr="009A7BAA">
        <w:rPr>
          <w:rFonts w:ascii="Cambria" w:hAnsi="Cambria"/>
        </w:rPr>
        <w:t>Incluir las siguientes validaciones que entrarán en vigor, a partir de la carga de la información crediticia remitida con fecha de corte enero de 2023.</w:t>
      </w:r>
    </w:p>
    <w:p w:rsidRPr="009A7BAA" w:rsidR="001A7DC5" w:rsidP="00C76717" w:rsidRDefault="001A7DC5" w14:paraId="68DFC835" w14:textId="77777777">
      <w:pPr>
        <w:pStyle w:val="Prrafodelista"/>
        <w:ind w:left="284"/>
        <w:jc w:val="both"/>
        <w:rPr>
          <w:rFonts w:ascii="Cambria" w:hAnsi="Cambria"/>
        </w:rPr>
      </w:pPr>
    </w:p>
    <w:tbl>
      <w:tblPr>
        <w:tblStyle w:val="Tablaconcuadrcula"/>
        <w:tblW w:w="8789" w:type="dxa"/>
        <w:tblInd w:w="-5" w:type="dxa"/>
        <w:tblLayout w:type="fixed"/>
        <w:tblLook w:val="04A0" w:firstRow="1" w:lastRow="0" w:firstColumn="1" w:lastColumn="0" w:noHBand="0" w:noVBand="1"/>
      </w:tblPr>
      <w:tblGrid>
        <w:gridCol w:w="7230"/>
        <w:gridCol w:w="1559"/>
      </w:tblGrid>
      <w:tr w:rsidRPr="009A7BAA" w:rsidR="001A7DC5" w:rsidTr="00C76717" w14:paraId="6117B793" w14:textId="77777777">
        <w:trPr>
          <w:trHeight w:val="705"/>
          <w:tblHeader/>
        </w:trPr>
        <w:tc>
          <w:tcPr>
            <w:tcW w:w="723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9A7BAA" w:rsidR="001A7DC5" w:rsidP="00C76717" w:rsidRDefault="001A7DC5" w14:paraId="6C108DEA" w14:textId="77777777">
            <w:pPr>
              <w:spacing w:line="240" w:lineRule="auto"/>
              <w:jc w:val="center"/>
              <w:rPr>
                <w:b/>
                <w:bCs/>
                <w:sz w:val="24"/>
              </w:rPr>
            </w:pPr>
            <w:r w:rsidRPr="009A7BAA">
              <w:rPr>
                <w:b/>
                <w:bCs/>
                <w:sz w:val="24"/>
              </w:rPr>
              <w:t>Descripción</w:t>
            </w:r>
          </w:p>
        </w:tc>
        <w:tc>
          <w:tcPr>
            <w:tcW w:w="1559"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9A7BAA" w:rsidR="001A7DC5" w:rsidP="00C76717" w:rsidRDefault="001A7DC5" w14:paraId="52214317" w14:textId="77777777">
            <w:pPr>
              <w:spacing w:line="240" w:lineRule="auto"/>
              <w:jc w:val="center"/>
              <w:rPr>
                <w:b/>
                <w:bCs/>
                <w:sz w:val="24"/>
              </w:rPr>
            </w:pPr>
            <w:r w:rsidRPr="009A7BAA">
              <w:rPr>
                <w:b/>
                <w:bCs/>
                <w:sz w:val="24"/>
              </w:rPr>
              <w:t xml:space="preserve">Archivo </w:t>
            </w:r>
          </w:p>
        </w:tc>
      </w:tr>
      <w:tr w:rsidRPr="009A7BAA" w:rsidR="001A7DC5" w:rsidTr="00C76717" w14:paraId="0E6DB2BC" w14:textId="77777777">
        <w:trPr>
          <w:trHeight w:val="810"/>
        </w:trPr>
        <w:tc>
          <w:tcPr>
            <w:tcW w:w="7230" w:type="dxa"/>
            <w:tcBorders>
              <w:top w:val="single" w:color="auto" w:sz="4" w:space="0"/>
              <w:left w:val="single" w:color="auto" w:sz="4" w:space="0"/>
              <w:bottom w:val="single" w:color="auto" w:sz="4" w:space="0"/>
              <w:right w:val="single" w:color="auto" w:sz="4" w:space="0"/>
            </w:tcBorders>
            <w:vAlign w:val="center"/>
            <w:hideMark/>
          </w:tcPr>
          <w:p w:rsidRPr="009A7BAA" w:rsidR="001A7DC5" w:rsidP="00C76717" w:rsidRDefault="001A7DC5" w14:paraId="65EA63A8" w14:textId="77777777">
            <w:pPr>
              <w:spacing w:line="240" w:lineRule="auto"/>
              <w:rPr>
                <w:sz w:val="24"/>
              </w:rPr>
            </w:pPr>
            <w:r w:rsidRPr="009A7BAA">
              <w:rPr>
                <w:sz w:val="24"/>
              </w:rPr>
              <w:t>En el campo “IndGeneradorDivisas” no se pueden reportar los valores 1, 2, ó 3 parar períodos de corte posteriores a diciembre de 2022.</w:t>
            </w:r>
          </w:p>
        </w:tc>
        <w:tc>
          <w:tcPr>
            <w:tcW w:w="1559" w:type="dxa"/>
            <w:tcBorders>
              <w:top w:val="single" w:color="auto" w:sz="4" w:space="0"/>
              <w:left w:val="single" w:color="auto" w:sz="4" w:space="0"/>
              <w:bottom w:val="single" w:color="auto" w:sz="4" w:space="0"/>
              <w:right w:val="single" w:color="auto" w:sz="4" w:space="0"/>
            </w:tcBorders>
            <w:noWrap/>
            <w:vAlign w:val="center"/>
            <w:hideMark/>
          </w:tcPr>
          <w:p w:rsidRPr="009A7BAA" w:rsidR="001A7DC5" w:rsidP="00C76717" w:rsidRDefault="001A7DC5" w14:paraId="6BFE1B64" w14:textId="77777777">
            <w:pPr>
              <w:spacing w:line="240" w:lineRule="auto"/>
              <w:rPr>
                <w:sz w:val="24"/>
              </w:rPr>
            </w:pPr>
            <w:r w:rsidRPr="009A7BAA">
              <w:rPr>
                <w:sz w:val="24"/>
              </w:rPr>
              <w:t>Operaciones</w:t>
            </w:r>
          </w:p>
        </w:tc>
      </w:tr>
      <w:tr w:rsidRPr="009A7BAA" w:rsidR="001A7DC5" w:rsidTr="00C76717" w14:paraId="42C0C224" w14:textId="77777777">
        <w:trPr>
          <w:trHeight w:val="810"/>
        </w:trPr>
        <w:tc>
          <w:tcPr>
            <w:tcW w:w="7230" w:type="dxa"/>
            <w:tcBorders>
              <w:top w:val="single" w:color="auto" w:sz="4" w:space="0"/>
              <w:left w:val="single" w:color="auto" w:sz="4" w:space="0"/>
              <w:bottom w:val="single" w:color="auto" w:sz="4" w:space="0"/>
              <w:right w:val="single" w:color="auto" w:sz="4" w:space="0"/>
            </w:tcBorders>
            <w:vAlign w:val="center"/>
          </w:tcPr>
          <w:p w:rsidRPr="009A7BAA" w:rsidR="001A7DC5" w:rsidP="00C76717" w:rsidRDefault="001A7DC5" w14:paraId="216E7CE3" w14:textId="77777777">
            <w:pPr>
              <w:spacing w:line="240" w:lineRule="auto"/>
              <w:rPr>
                <w:sz w:val="24"/>
              </w:rPr>
            </w:pPr>
            <w:r w:rsidRPr="009A7BAA">
              <w:rPr>
                <w:sz w:val="24"/>
              </w:rPr>
              <w:t>En el campo “IndGeneradorDivisas” no pueden reportar los valores 5, 6, 7 ó 8 para períodos de corte anteriores a enero de 2023.</w:t>
            </w:r>
          </w:p>
        </w:tc>
        <w:tc>
          <w:tcPr>
            <w:tcW w:w="1559" w:type="dxa"/>
            <w:tcBorders>
              <w:top w:val="single" w:color="auto" w:sz="4" w:space="0"/>
              <w:left w:val="single" w:color="auto" w:sz="4" w:space="0"/>
              <w:bottom w:val="single" w:color="auto" w:sz="4" w:space="0"/>
              <w:right w:val="single" w:color="auto" w:sz="4" w:space="0"/>
            </w:tcBorders>
            <w:noWrap/>
            <w:vAlign w:val="center"/>
          </w:tcPr>
          <w:p w:rsidRPr="009A7BAA" w:rsidR="001A7DC5" w:rsidP="00C76717" w:rsidRDefault="001A7DC5" w14:paraId="26B9D8D9" w14:textId="77777777">
            <w:pPr>
              <w:spacing w:line="240" w:lineRule="auto"/>
              <w:rPr>
                <w:sz w:val="24"/>
              </w:rPr>
            </w:pPr>
            <w:r w:rsidRPr="009A7BAA">
              <w:rPr>
                <w:sz w:val="24"/>
              </w:rPr>
              <w:t>Operaciones</w:t>
            </w:r>
          </w:p>
        </w:tc>
      </w:tr>
    </w:tbl>
    <w:p w:rsidRPr="009A7BAA" w:rsidR="001A7DC5" w:rsidP="00C76717" w:rsidRDefault="001A7DC5" w14:paraId="77E4B997" w14:textId="77777777">
      <w:pPr>
        <w:pStyle w:val="Prrafodelista"/>
        <w:ind w:left="284"/>
        <w:jc w:val="both"/>
        <w:rPr>
          <w:rFonts w:ascii="Cambria" w:hAnsi="Cambria"/>
        </w:rPr>
      </w:pPr>
    </w:p>
    <w:p w:rsidRPr="009A7BAA" w:rsidR="001A7DC5" w:rsidP="00C76717" w:rsidRDefault="001A7DC5" w14:paraId="1CB0BFE2" w14:textId="77777777">
      <w:pPr>
        <w:pStyle w:val="Prrafodelista"/>
        <w:numPr>
          <w:ilvl w:val="0"/>
          <w:numId w:val="10"/>
        </w:numPr>
        <w:ind w:left="426" w:hanging="426"/>
        <w:rPr>
          <w:rFonts w:ascii="Cambria" w:hAnsi="Cambria"/>
          <w:bCs/>
        </w:rPr>
      </w:pPr>
      <w:r w:rsidRPr="009A7BAA">
        <w:rPr>
          <w:rFonts w:ascii="Cambria" w:hAnsi="Cambria"/>
          <w:bCs/>
        </w:rPr>
        <w:t>Adicionar a la tabla Tipo_Indicador_Generador_Divisas_SBD los códigos 6, 7, 8 y 9, según lo acordado por el CONASSIF en sesión #1752-09 en torno al Acuerdo SUGEF 15-16 e inclusión de nuevas validaciones que entrarán en vigor con la carga de información crediticia con corte a enero de 2023</w:t>
      </w:r>
    </w:p>
    <w:p w:rsidRPr="009A7BAA" w:rsidR="001A7DC5" w:rsidP="00C76717" w:rsidRDefault="001A7DC5" w14:paraId="43BDF57A" w14:textId="77777777">
      <w:pPr>
        <w:spacing w:line="240" w:lineRule="auto"/>
        <w:rPr>
          <w:sz w:val="24"/>
        </w:rPr>
      </w:pPr>
    </w:p>
    <w:p w:rsidRPr="009A7BAA" w:rsidR="001A7DC5" w:rsidP="00C76717" w:rsidRDefault="001A7DC5" w14:paraId="697F21E2" w14:textId="77777777">
      <w:pPr>
        <w:pStyle w:val="Prrafodelista"/>
        <w:numPr>
          <w:ilvl w:val="0"/>
          <w:numId w:val="9"/>
        </w:numPr>
        <w:ind w:left="851" w:hanging="425"/>
        <w:jc w:val="both"/>
        <w:rPr>
          <w:rFonts w:ascii="Cambria" w:hAnsi="Cambria"/>
        </w:rPr>
      </w:pPr>
      <w:r w:rsidRPr="009A7BAA">
        <w:rPr>
          <w:rFonts w:ascii="Cambria" w:hAnsi="Cambria"/>
        </w:rPr>
        <w:t>La tabla</w:t>
      </w:r>
      <w:r w:rsidRPr="009A7BAA">
        <w:rPr>
          <w:rFonts w:ascii="Cambria" w:hAnsi="Cambria"/>
          <w:bCs/>
        </w:rPr>
        <w:t xml:space="preserve"> Tipo_Indicador_Generador_Divisas_SBD </w:t>
      </w:r>
      <w:r w:rsidRPr="009A7BAA">
        <w:rPr>
          <w:rFonts w:ascii="Cambria" w:hAnsi="Cambria"/>
        </w:rPr>
        <w:t>actualizada es la siguiente:</w:t>
      </w:r>
    </w:p>
    <w:p w:rsidRPr="009A7BAA" w:rsidR="001A7DC5" w:rsidP="00C76717" w:rsidRDefault="001A7DC5" w14:paraId="4D43CFC4" w14:textId="77777777">
      <w:pPr>
        <w:spacing w:line="240" w:lineRule="auto"/>
        <w:rPr>
          <w:sz w:val="24"/>
        </w:rPr>
      </w:pPr>
    </w:p>
    <w:tbl>
      <w:tblPr>
        <w:tblW w:w="4978" w:type="pct"/>
        <w:tblCellMar>
          <w:left w:w="0" w:type="dxa"/>
          <w:right w:w="0" w:type="dxa"/>
        </w:tblCellMar>
        <w:tblLook w:val="04A0" w:firstRow="1" w:lastRow="0" w:firstColumn="1" w:lastColumn="0" w:noHBand="0" w:noVBand="1"/>
      </w:tblPr>
      <w:tblGrid>
        <w:gridCol w:w="1096"/>
        <w:gridCol w:w="1972"/>
        <w:gridCol w:w="5711"/>
      </w:tblGrid>
      <w:tr w:rsidRPr="009A7BAA" w:rsidR="001A7DC5" w:rsidTr="008E2384" w14:paraId="09BB04A1" w14:textId="77777777">
        <w:trPr>
          <w:trHeight w:val="170"/>
          <w:tblHeader/>
        </w:trPr>
        <w:tc>
          <w:tcPr>
            <w:tcW w:w="598" w:type="pct"/>
            <w:tcBorders>
              <w:top w:val="single" w:color="auto" w:sz="8" w:space="0"/>
              <w:left w:val="single" w:color="auto" w:sz="8" w:space="0"/>
              <w:bottom w:val="single" w:color="auto" w:sz="8" w:space="0"/>
              <w:right w:val="single" w:color="auto" w:sz="8" w:space="0"/>
            </w:tcBorders>
            <w:shd w:val="clear" w:color="auto" w:fill="002060"/>
            <w:tcMar>
              <w:top w:w="0" w:type="dxa"/>
              <w:left w:w="108" w:type="dxa"/>
              <w:bottom w:w="0" w:type="dxa"/>
              <w:right w:w="108" w:type="dxa"/>
            </w:tcMar>
            <w:vAlign w:val="center"/>
            <w:hideMark/>
          </w:tcPr>
          <w:p w:rsidRPr="009A7BAA" w:rsidR="001A7DC5" w:rsidP="00C76717" w:rsidRDefault="001A7DC5" w14:paraId="3D8664ED" w14:textId="77777777">
            <w:pPr>
              <w:spacing w:line="240" w:lineRule="auto"/>
              <w:jc w:val="center"/>
              <w:rPr>
                <w:b/>
                <w:bCs/>
                <w:sz w:val="24"/>
                <w:lang w:val="es-ES_tradnl" w:eastAsia="es-CR"/>
              </w:rPr>
            </w:pPr>
            <w:r w:rsidRPr="009A7BAA">
              <w:rPr>
                <w:b/>
                <w:bCs/>
                <w:sz w:val="24"/>
                <w:lang w:val="es-ES_tradnl" w:eastAsia="es-CR"/>
              </w:rPr>
              <w:t>CODIGO</w:t>
            </w:r>
          </w:p>
        </w:tc>
        <w:tc>
          <w:tcPr>
            <w:tcW w:w="1136" w:type="pct"/>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vAlign w:val="center"/>
            <w:hideMark/>
          </w:tcPr>
          <w:p w:rsidRPr="009A7BAA" w:rsidR="001A7DC5" w:rsidP="00C76717" w:rsidRDefault="001A7DC5" w14:paraId="67DA9FF4" w14:textId="77777777">
            <w:pPr>
              <w:spacing w:line="240" w:lineRule="auto"/>
              <w:jc w:val="center"/>
              <w:rPr>
                <w:sz w:val="24"/>
                <w:lang w:val="es-CR" w:eastAsia="es-CR"/>
              </w:rPr>
            </w:pPr>
            <w:r w:rsidRPr="009A7BAA">
              <w:rPr>
                <w:b/>
                <w:bCs/>
                <w:color w:val="FFFFFF"/>
                <w:sz w:val="24"/>
                <w:lang w:eastAsia="es-CR"/>
              </w:rPr>
              <w:t xml:space="preserve">TIPO INDICADOR </w:t>
            </w:r>
          </w:p>
          <w:p w:rsidRPr="009A7BAA" w:rsidR="001A7DC5" w:rsidP="00C76717" w:rsidRDefault="001A7DC5" w14:paraId="493734E6" w14:textId="77777777">
            <w:pPr>
              <w:spacing w:line="240" w:lineRule="auto"/>
              <w:jc w:val="center"/>
              <w:rPr>
                <w:b/>
                <w:bCs/>
                <w:sz w:val="24"/>
                <w:lang w:val="es-ES_tradnl" w:eastAsia="es-CR"/>
              </w:rPr>
            </w:pPr>
            <w:r w:rsidRPr="009A7BAA">
              <w:rPr>
                <w:b/>
                <w:bCs/>
                <w:color w:val="FFFFFF"/>
                <w:sz w:val="24"/>
                <w:lang w:eastAsia="es-CR"/>
              </w:rPr>
              <w:t>GENERADOR DIVISAS SBD</w:t>
            </w:r>
          </w:p>
        </w:tc>
        <w:tc>
          <w:tcPr>
            <w:tcW w:w="3266" w:type="pct"/>
            <w:tcBorders>
              <w:top w:val="single" w:color="auto" w:sz="8" w:space="0"/>
              <w:left w:val="nil"/>
              <w:bottom w:val="single" w:color="auto" w:sz="8" w:space="0"/>
              <w:right w:val="single" w:color="auto" w:sz="8" w:space="0"/>
            </w:tcBorders>
            <w:shd w:val="clear" w:color="auto" w:fill="002060"/>
            <w:tcMar>
              <w:top w:w="0" w:type="dxa"/>
              <w:left w:w="108" w:type="dxa"/>
              <w:bottom w:w="0" w:type="dxa"/>
              <w:right w:w="108" w:type="dxa"/>
            </w:tcMar>
            <w:vAlign w:val="center"/>
            <w:hideMark/>
          </w:tcPr>
          <w:p w:rsidRPr="009A7BAA" w:rsidR="001A7DC5" w:rsidP="00C76717" w:rsidRDefault="001A7DC5" w14:paraId="65F52C8D" w14:textId="77777777">
            <w:pPr>
              <w:spacing w:line="240" w:lineRule="auto"/>
              <w:jc w:val="center"/>
              <w:rPr>
                <w:b/>
                <w:bCs/>
                <w:sz w:val="24"/>
                <w:lang w:val="es-CR" w:eastAsia="es-CR"/>
              </w:rPr>
            </w:pPr>
            <w:r w:rsidRPr="009A7BAA">
              <w:rPr>
                <w:b/>
                <w:bCs/>
                <w:color w:val="FFFFFF"/>
                <w:sz w:val="24"/>
                <w:lang w:eastAsia="es-CR"/>
              </w:rPr>
              <w:t>OBSERVACIONES</w:t>
            </w:r>
          </w:p>
        </w:tc>
      </w:tr>
      <w:tr w:rsidRPr="009A7BAA" w:rsidR="001A7DC5" w:rsidTr="008E2384" w14:paraId="28CE04C4"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66AD3B13" w14:textId="77777777">
            <w:pPr>
              <w:spacing w:line="240" w:lineRule="auto"/>
              <w:jc w:val="center"/>
              <w:rPr>
                <w:sz w:val="24"/>
                <w:lang w:val="es-ES_tradnl" w:eastAsia="es-CR"/>
              </w:rPr>
            </w:pPr>
            <w:r w:rsidRPr="009A7BAA">
              <w:rPr>
                <w:sz w:val="24"/>
                <w:lang w:val="es-ES_tradnl" w:eastAsia="es-CR"/>
              </w:rPr>
              <w:t>0</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tcPr>
          <w:p w:rsidRPr="009A7BAA" w:rsidR="001A7DC5" w:rsidP="00C76717" w:rsidRDefault="001A7DC5" w14:paraId="1EC036A6" w14:textId="77777777">
            <w:pPr>
              <w:spacing w:line="240" w:lineRule="auto"/>
              <w:rPr>
                <w:sz w:val="24"/>
                <w:lang w:val="es-ES_tradnl" w:eastAsia="es-CR"/>
              </w:rPr>
            </w:pPr>
            <w:r w:rsidRPr="009A7BAA">
              <w:rPr>
                <w:sz w:val="24"/>
                <w:lang w:val="es-ES_tradnl" w:eastAsia="es-CR"/>
              </w:rPr>
              <w:t>Aplica otra normativa.</w:t>
            </w:r>
          </w:p>
          <w:p w:rsidRPr="009A7BAA" w:rsidR="001A7DC5" w:rsidP="00C76717" w:rsidRDefault="001A7DC5" w14:paraId="4EFD439D" w14:textId="77777777">
            <w:pPr>
              <w:spacing w:line="240" w:lineRule="auto"/>
              <w:rPr>
                <w:sz w:val="24"/>
                <w:lang w:val="es-CR" w:eastAsia="es-CR"/>
              </w:rPr>
            </w:pPr>
          </w:p>
        </w:tc>
        <w:tc>
          <w:tcPr>
            <w:tcW w:w="326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6517B88C" w14:textId="77777777">
            <w:pPr>
              <w:spacing w:line="240" w:lineRule="auto"/>
              <w:rPr>
                <w:sz w:val="24"/>
              </w:rPr>
            </w:pPr>
            <w:r w:rsidRPr="009A7BAA">
              <w:rPr>
                <w:sz w:val="24"/>
              </w:rPr>
              <w:t xml:space="preserve"> </w:t>
            </w:r>
          </w:p>
          <w:p w:rsidRPr="009A7BAA" w:rsidR="001A7DC5" w:rsidP="00C76717" w:rsidRDefault="001A7DC5" w14:paraId="5A0FBCE2" w14:textId="77777777">
            <w:pPr>
              <w:spacing w:line="240" w:lineRule="auto"/>
              <w:rPr>
                <w:i/>
                <w:iCs/>
                <w:sz w:val="24"/>
                <w:lang w:val="es-CR" w:eastAsia="es-CR"/>
              </w:rPr>
            </w:pPr>
            <w:r w:rsidRPr="009A7BAA">
              <w:rPr>
                <w:sz w:val="24"/>
              </w:rPr>
              <w:t>Cuando el deudor solo presente operaciones que le aplica el Acuerdo SUGEF 1-05.</w:t>
            </w:r>
          </w:p>
        </w:tc>
      </w:tr>
      <w:tr w:rsidRPr="009A7BAA" w:rsidR="001A7DC5" w:rsidTr="008E2384" w14:paraId="05BE7BA8" w14:textId="77777777">
        <w:trPr>
          <w:trHeight w:val="643"/>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0299A4CE" w14:textId="77777777">
            <w:pPr>
              <w:spacing w:line="240" w:lineRule="auto"/>
              <w:jc w:val="center"/>
              <w:rPr>
                <w:sz w:val="24"/>
                <w:lang w:val="es-ES_tradnl" w:eastAsia="es-CR"/>
              </w:rPr>
            </w:pPr>
            <w:r w:rsidRPr="009A7BAA">
              <w:rPr>
                <w:sz w:val="24"/>
                <w:lang w:val="es-ES_tradnl" w:eastAsia="es-CR"/>
              </w:rPr>
              <w:t>1</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5B541EE4" w14:textId="77777777">
            <w:pPr>
              <w:spacing w:line="240" w:lineRule="auto"/>
              <w:rPr>
                <w:sz w:val="24"/>
                <w:lang w:val="es-ES_tradnl" w:eastAsia="es-CR"/>
              </w:rPr>
            </w:pPr>
            <w:r w:rsidRPr="009A7BAA">
              <w:rPr>
                <w:sz w:val="24"/>
                <w:lang w:val="es-ES_tradnl" w:eastAsia="es-CR"/>
              </w:rPr>
              <w:t>Es generador</w:t>
            </w:r>
          </w:p>
        </w:tc>
        <w:tc>
          <w:tcPr>
            <w:tcW w:w="3266" w:type="pct"/>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rsidRPr="009A7BAA" w:rsidR="001A7DC5" w:rsidP="00C76717" w:rsidRDefault="001A7DC5" w14:paraId="4532098A" w14:textId="77777777">
            <w:pPr>
              <w:spacing w:line="240" w:lineRule="auto"/>
              <w:rPr>
                <w:sz w:val="24"/>
                <w:lang w:val="es-ES_tradnl" w:eastAsia="es-CR"/>
              </w:rPr>
            </w:pPr>
            <w:r w:rsidRPr="009A7BAA">
              <w:rPr>
                <w:sz w:val="24"/>
                <w:lang w:val="es-ES_tradnl" w:eastAsia="es-CR"/>
              </w:rPr>
              <w:t xml:space="preserve">Lineamientos Generales del Acuerdo SUGEF 15-16 </w:t>
            </w:r>
            <w:r w:rsidRPr="009A7BAA">
              <w:rPr>
                <w:i/>
                <w:iCs/>
                <w:sz w:val="24"/>
                <w:lang w:val="es-ES_tradnl" w:eastAsia="es-CR"/>
              </w:rPr>
              <w:t>Reglamento sobre gestión y evaluación del riesgo de crédito para el Sistema de Banca para el Desarrollo</w:t>
            </w:r>
            <w:r w:rsidRPr="009A7BAA">
              <w:rPr>
                <w:sz w:val="24"/>
                <w:lang w:val="es-ES_tradnl" w:eastAsia="es-CR"/>
              </w:rPr>
              <w:t>, en su capítulo:</w:t>
            </w:r>
          </w:p>
          <w:p w:rsidRPr="009A7BAA" w:rsidR="001A7DC5" w:rsidP="00C76717" w:rsidRDefault="001A7DC5" w14:paraId="2BA4D584" w14:textId="77777777">
            <w:pPr>
              <w:spacing w:line="240" w:lineRule="auto"/>
              <w:rPr>
                <w:sz w:val="24"/>
                <w:lang w:val="es-ES_tradnl" w:eastAsia="es-CR"/>
              </w:rPr>
            </w:pPr>
          </w:p>
          <w:p w:rsidRPr="009A7BAA" w:rsidR="001A7DC5" w:rsidP="00C76717" w:rsidRDefault="001A7DC5" w14:paraId="6D9FEF62" w14:textId="77777777">
            <w:pPr>
              <w:spacing w:line="240" w:lineRule="auto"/>
              <w:rPr>
                <w:sz w:val="24"/>
                <w:lang w:val="es-ES_tradnl" w:eastAsia="es-CR"/>
              </w:rPr>
            </w:pPr>
            <w:r w:rsidRPr="009A7BAA">
              <w:rPr>
                <w:sz w:val="24"/>
                <w:lang w:val="es-ES_tradnl" w:eastAsia="es-CR"/>
              </w:rPr>
              <w:t>VII. Definición de Deudores Generadores y No Generadores de Moneda Extranjera</w:t>
            </w:r>
          </w:p>
          <w:p w:rsidRPr="009A7BAA" w:rsidR="001A7DC5" w:rsidP="00C76717" w:rsidRDefault="001A7DC5" w14:paraId="2BAF78EA" w14:textId="77777777">
            <w:pPr>
              <w:spacing w:line="240" w:lineRule="auto"/>
              <w:rPr>
                <w:sz w:val="24"/>
                <w:lang w:val="es-ES_tradnl" w:eastAsia="es-CR"/>
              </w:rPr>
            </w:pPr>
          </w:p>
        </w:tc>
      </w:tr>
      <w:tr w:rsidRPr="009A7BAA" w:rsidR="001A7DC5" w:rsidTr="008E2384" w14:paraId="1AD48D4F"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779A9CEB" w14:textId="77777777">
            <w:pPr>
              <w:spacing w:line="240" w:lineRule="auto"/>
              <w:jc w:val="center"/>
              <w:rPr>
                <w:sz w:val="24"/>
                <w:lang w:val="es-ES_tradnl" w:eastAsia="es-CR"/>
              </w:rPr>
            </w:pPr>
            <w:r w:rsidRPr="009A7BAA">
              <w:rPr>
                <w:sz w:val="24"/>
                <w:lang w:val="es-ES_tradnl" w:eastAsia="es-CR"/>
              </w:rPr>
              <w:t>2</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0182C8C1" w14:textId="77777777">
            <w:pPr>
              <w:spacing w:line="240" w:lineRule="auto"/>
              <w:rPr>
                <w:sz w:val="24"/>
                <w:lang w:val="es-ES_tradnl" w:eastAsia="es-CR"/>
              </w:rPr>
            </w:pPr>
            <w:r w:rsidRPr="009A7BAA">
              <w:rPr>
                <w:sz w:val="24"/>
                <w:lang w:val="es-ES_tradnl" w:eastAsia="es-CR"/>
              </w:rPr>
              <w:t>Es No generador de bajo riesgo</w:t>
            </w:r>
          </w:p>
        </w:tc>
        <w:tc>
          <w:tcPr>
            <w:tcW w:w="3266" w:type="pct"/>
            <w:vMerge/>
            <w:tcBorders>
              <w:top w:val="nil"/>
              <w:left w:val="nil"/>
              <w:bottom w:val="single" w:color="auto" w:sz="8" w:space="0"/>
              <w:right w:val="single" w:color="auto" w:sz="8" w:space="0"/>
            </w:tcBorders>
            <w:vAlign w:val="center"/>
            <w:hideMark/>
          </w:tcPr>
          <w:p w:rsidRPr="009A7BAA" w:rsidR="001A7DC5" w:rsidP="00C76717" w:rsidRDefault="001A7DC5" w14:paraId="115C3E73" w14:textId="77777777">
            <w:pPr>
              <w:spacing w:line="240" w:lineRule="auto"/>
              <w:rPr>
                <w:rFonts w:eastAsiaTheme="minorHAnsi"/>
                <w:sz w:val="24"/>
                <w:lang w:val="es-ES_tradnl" w:eastAsia="es-CR"/>
              </w:rPr>
            </w:pPr>
          </w:p>
        </w:tc>
      </w:tr>
      <w:tr w:rsidRPr="009A7BAA" w:rsidR="001A7DC5" w:rsidTr="008E2384" w14:paraId="6D83E466"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673DD245" w14:textId="77777777">
            <w:pPr>
              <w:spacing w:line="240" w:lineRule="auto"/>
              <w:jc w:val="center"/>
              <w:rPr>
                <w:sz w:val="24"/>
                <w:lang w:val="es-ES_tradnl" w:eastAsia="es-CR"/>
              </w:rPr>
            </w:pPr>
            <w:r w:rsidRPr="009A7BAA">
              <w:rPr>
                <w:sz w:val="24"/>
                <w:lang w:val="es-ES_tradnl" w:eastAsia="es-CR"/>
              </w:rPr>
              <w:t>3</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49B89CF6" w14:textId="77777777">
            <w:pPr>
              <w:spacing w:line="240" w:lineRule="auto"/>
              <w:rPr>
                <w:sz w:val="24"/>
                <w:lang w:val="es-ES_tradnl" w:eastAsia="es-CR"/>
              </w:rPr>
            </w:pPr>
            <w:r w:rsidRPr="009A7BAA">
              <w:rPr>
                <w:sz w:val="24"/>
                <w:lang w:val="es-ES_tradnl" w:eastAsia="es-CR"/>
              </w:rPr>
              <w:t>Es No generador de alto riesgo</w:t>
            </w:r>
          </w:p>
        </w:tc>
        <w:tc>
          <w:tcPr>
            <w:tcW w:w="3266" w:type="pct"/>
            <w:vMerge/>
            <w:tcBorders>
              <w:top w:val="nil"/>
              <w:left w:val="nil"/>
              <w:bottom w:val="single" w:color="auto" w:sz="8" w:space="0"/>
              <w:right w:val="single" w:color="auto" w:sz="8" w:space="0"/>
            </w:tcBorders>
            <w:vAlign w:val="center"/>
            <w:hideMark/>
          </w:tcPr>
          <w:p w:rsidRPr="009A7BAA" w:rsidR="001A7DC5" w:rsidP="00C76717" w:rsidRDefault="001A7DC5" w14:paraId="4A6A5D23" w14:textId="77777777">
            <w:pPr>
              <w:spacing w:line="240" w:lineRule="auto"/>
              <w:rPr>
                <w:rFonts w:eastAsiaTheme="minorHAnsi"/>
                <w:sz w:val="24"/>
                <w:lang w:val="es-ES_tradnl" w:eastAsia="es-CR"/>
              </w:rPr>
            </w:pPr>
          </w:p>
        </w:tc>
      </w:tr>
      <w:tr w:rsidRPr="009A7BAA" w:rsidR="001A7DC5" w:rsidTr="008E2384" w14:paraId="241065CE"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77DE1157" w14:textId="77777777">
            <w:pPr>
              <w:spacing w:line="240" w:lineRule="auto"/>
              <w:jc w:val="center"/>
              <w:rPr>
                <w:sz w:val="24"/>
                <w:lang w:val="es-ES_tradnl" w:eastAsia="es-CR"/>
              </w:rPr>
            </w:pPr>
            <w:r w:rsidRPr="009A7BAA">
              <w:rPr>
                <w:sz w:val="24"/>
                <w:lang w:val="es-ES_tradnl" w:eastAsia="es-CR"/>
              </w:rPr>
              <w:t>4</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tcPr>
          <w:p w:rsidRPr="009A7BAA" w:rsidR="001A7DC5" w:rsidP="00C76717" w:rsidRDefault="001A7DC5" w14:paraId="0F557B28" w14:textId="4F6F6A14">
            <w:pPr>
              <w:spacing w:line="240" w:lineRule="auto"/>
              <w:rPr>
                <w:sz w:val="24"/>
                <w:lang w:val="es-ES_tradnl" w:eastAsia="es-CR"/>
              </w:rPr>
            </w:pPr>
            <w:r w:rsidRPr="009A7BAA">
              <w:rPr>
                <w:sz w:val="24"/>
                <w:lang w:val="es-ES_tradnl" w:eastAsia="es-CR"/>
              </w:rPr>
              <w:t>Deudor con todas sus operaciones en moneda nacional</w:t>
            </w:r>
          </w:p>
        </w:tc>
        <w:tc>
          <w:tcPr>
            <w:tcW w:w="3266" w:type="pct"/>
            <w:tcBorders>
              <w:top w:val="nil"/>
              <w:left w:val="nil"/>
              <w:bottom w:val="single" w:color="auto" w:sz="8" w:space="0"/>
              <w:right w:val="single" w:color="auto" w:sz="8" w:space="0"/>
            </w:tcBorders>
            <w:tcMar>
              <w:top w:w="0" w:type="dxa"/>
              <w:left w:w="108" w:type="dxa"/>
              <w:bottom w:w="0" w:type="dxa"/>
              <w:right w:w="108" w:type="dxa"/>
            </w:tcMar>
            <w:vAlign w:val="center"/>
          </w:tcPr>
          <w:p w:rsidRPr="009A7BAA" w:rsidR="001A7DC5" w:rsidP="00C76717" w:rsidRDefault="001A7DC5" w14:paraId="5D626D85" w14:textId="77777777">
            <w:pPr>
              <w:spacing w:line="240" w:lineRule="auto"/>
              <w:rPr>
                <w:sz w:val="24"/>
                <w:lang w:val="es-ES_tradnl" w:eastAsia="es-CR"/>
              </w:rPr>
            </w:pPr>
            <w:r w:rsidRPr="009A7BAA">
              <w:rPr>
                <w:sz w:val="24"/>
                <w:lang w:val="es-ES_tradnl" w:eastAsia="es-CR"/>
              </w:rPr>
              <w:t xml:space="preserve">Los deudores que no tienen una operación crediticia denominada en moneda extranjera en la entidad no deben clasificarse. De acuerdo con lo establecido en el apartado VII de los Lineamientos Generales del Acuerdo SUGEF 15-16,la Unidad de Desarrollo no se considera moneda extranjera. </w:t>
            </w:r>
          </w:p>
        </w:tc>
      </w:tr>
      <w:tr w:rsidRPr="009A7BAA" w:rsidR="001A7DC5" w:rsidTr="008E2384" w14:paraId="070F5EED"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241E4530" w14:textId="77777777">
            <w:pPr>
              <w:spacing w:line="240" w:lineRule="auto"/>
              <w:jc w:val="center"/>
              <w:rPr>
                <w:sz w:val="24"/>
                <w:lang w:val="es-ES_tradnl" w:eastAsia="es-CR"/>
              </w:rPr>
            </w:pPr>
            <w:r w:rsidRPr="009A7BAA">
              <w:rPr>
                <w:sz w:val="24"/>
                <w:lang w:val="es-ES_tradnl" w:eastAsia="es-CR"/>
              </w:rPr>
              <w:t>5</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38510281" w14:textId="77777777">
            <w:pPr>
              <w:spacing w:line="240" w:lineRule="auto"/>
              <w:rPr>
                <w:sz w:val="24"/>
                <w:lang w:val="es-ES_tradnl" w:eastAsia="es-CR"/>
              </w:rPr>
            </w:pPr>
            <w:r w:rsidRPr="009A7BAA">
              <w:rPr>
                <w:sz w:val="24"/>
                <w:lang w:val="es-ES_tradnl" w:eastAsia="es-CR"/>
              </w:rPr>
              <w:t>Deudor excepción por operaciones contingentes</w:t>
            </w:r>
          </w:p>
        </w:tc>
        <w:tc>
          <w:tcPr>
            <w:tcW w:w="326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16D9CDF5" w14:textId="77777777">
            <w:pPr>
              <w:spacing w:line="240" w:lineRule="auto"/>
              <w:rPr>
                <w:sz w:val="24"/>
                <w:lang w:val="es-ES_tradnl" w:eastAsia="es-CR"/>
              </w:rPr>
            </w:pPr>
            <w:r w:rsidRPr="009A7BAA">
              <w:rPr>
                <w:sz w:val="24"/>
                <w:lang w:val="es-ES_tradnl" w:eastAsia="es-CR"/>
              </w:rPr>
              <w:t xml:space="preserve">Para efectos de la clasificación de los deudores según su exposición al riesgo cambiario debe observarse lo siguiente: </w:t>
            </w:r>
          </w:p>
          <w:p w:rsidRPr="009A7BAA" w:rsidR="001A7DC5" w:rsidP="00C76717" w:rsidRDefault="001A7DC5" w14:paraId="3CBEE13B" w14:textId="77777777">
            <w:pPr>
              <w:spacing w:line="240" w:lineRule="auto"/>
              <w:rPr>
                <w:sz w:val="24"/>
                <w:lang w:val="es-ES_tradnl" w:eastAsia="es-CR"/>
              </w:rPr>
            </w:pPr>
            <w:r w:rsidRPr="009A7BAA">
              <w:rPr>
                <w:sz w:val="24"/>
                <w:lang w:val="es-ES_tradnl" w:eastAsia="es-CR"/>
              </w:rPr>
              <w:t xml:space="preserve">1. Se excluyen del análisis la garantía, el aval y la carta de crédito. </w:t>
            </w:r>
          </w:p>
          <w:p w:rsidRPr="009A7BAA" w:rsidR="001A7DC5" w:rsidP="00C76717" w:rsidRDefault="001A7DC5" w14:paraId="01D37B3D" w14:textId="77777777">
            <w:pPr>
              <w:spacing w:line="240" w:lineRule="auto"/>
              <w:rPr>
                <w:sz w:val="24"/>
                <w:lang w:val="es-ES_tradnl" w:eastAsia="es-CR"/>
              </w:rPr>
            </w:pPr>
            <w:r w:rsidRPr="009A7BAA">
              <w:rPr>
                <w:sz w:val="24"/>
                <w:lang w:val="es-ES_tradnl" w:eastAsia="es-CR"/>
              </w:rPr>
              <w:lastRenderedPageBreak/>
              <w:t>Deudores a los que les aplica la excepción  descrita en el numeral B.1 del apartado VII de los Lineamientos Generales del Acuerdo SUGEF 15-16.</w:t>
            </w:r>
          </w:p>
          <w:p w:rsidRPr="009A7BAA" w:rsidR="001A7DC5" w:rsidP="00C76717" w:rsidRDefault="001A7DC5" w14:paraId="292B8EBB" w14:textId="77777777">
            <w:pPr>
              <w:spacing w:line="240" w:lineRule="auto"/>
              <w:rPr>
                <w:color w:val="00B050"/>
                <w:sz w:val="24"/>
                <w:lang w:val="es-ES_tradnl" w:eastAsia="es-CR"/>
              </w:rPr>
            </w:pPr>
            <w:r w:rsidRPr="009A7BAA">
              <w:rPr>
                <w:sz w:val="24"/>
                <w:lang w:val="es-ES_tradnl" w:eastAsia="es-CR"/>
              </w:rPr>
              <w:t>Por lo tanto, este código corresponde a los deudores cuya totalidad de operaciones son “TipoOperación” 7 ( garantía de participación, aval y carta de crédito)</w:t>
            </w:r>
            <w:r w:rsidRPr="009A7BAA">
              <w:rPr>
                <w:color w:val="00B050"/>
                <w:sz w:val="24"/>
                <w:lang w:val="es-ES_tradnl" w:eastAsia="es-CR"/>
              </w:rPr>
              <w:t xml:space="preserve"> </w:t>
            </w:r>
          </w:p>
        </w:tc>
      </w:tr>
      <w:tr w:rsidRPr="009A7BAA" w:rsidR="001A7DC5" w:rsidTr="008E2384" w14:paraId="161A05F4"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73B95D0C" w14:textId="77777777">
            <w:pPr>
              <w:spacing w:line="240" w:lineRule="auto"/>
              <w:jc w:val="center"/>
              <w:rPr>
                <w:color w:val="00B050"/>
                <w:sz w:val="24"/>
                <w:lang w:eastAsia="es-CR"/>
              </w:rPr>
            </w:pPr>
            <w:r w:rsidRPr="009A7BAA">
              <w:rPr>
                <w:color w:val="00B050"/>
                <w:sz w:val="24"/>
                <w:lang w:eastAsia="es-CR"/>
              </w:rPr>
              <w:lastRenderedPageBreak/>
              <w:t>6</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293382FB" w14:textId="77777777">
            <w:pPr>
              <w:spacing w:line="240" w:lineRule="auto"/>
              <w:rPr>
                <w:sz w:val="24"/>
                <w:lang w:val="es-ES_tradnl" w:eastAsia="es-CR"/>
              </w:rPr>
            </w:pPr>
            <w:r w:rsidRPr="009A7BAA">
              <w:rPr>
                <w:color w:val="00B050"/>
                <w:sz w:val="24"/>
                <w:lang w:eastAsia="es-CR"/>
              </w:rPr>
              <w:t>Sin exposición a riesgo cambiario (cobertura natural.)</w:t>
            </w:r>
          </w:p>
        </w:tc>
        <w:tc>
          <w:tcPr>
            <w:tcW w:w="326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3834A722" w14:textId="77777777">
            <w:pPr>
              <w:spacing w:line="240" w:lineRule="auto"/>
              <w:rPr>
                <w:color w:val="00B050"/>
                <w:sz w:val="24"/>
                <w:lang w:eastAsia="es-CR"/>
              </w:rPr>
            </w:pPr>
            <w:r w:rsidRPr="009A7BAA">
              <w:rPr>
                <w:color w:val="00B050"/>
                <w:sz w:val="24"/>
                <w:lang w:eastAsia="es-CR"/>
              </w:rPr>
              <w:t>Deudor sin exposición a riesgo cambiario cobertura natural.</w:t>
            </w:r>
          </w:p>
          <w:p w:rsidRPr="009A7BAA" w:rsidR="001A7DC5" w:rsidP="00C76717" w:rsidRDefault="001A7DC5" w14:paraId="56FC95EC" w14:textId="77777777">
            <w:pPr>
              <w:spacing w:line="240" w:lineRule="auto"/>
              <w:rPr>
                <w:color w:val="00B050"/>
                <w:sz w:val="24"/>
                <w:lang w:val="es-ES_tradnl" w:eastAsia="es-CR"/>
              </w:rPr>
            </w:pPr>
            <w:r w:rsidRPr="009A7BAA">
              <w:rPr>
                <w:color w:val="00B050"/>
                <w:sz w:val="24"/>
                <w:lang w:val="es-ES_tradnl" w:eastAsia="es-CR"/>
              </w:rPr>
              <w:t>Transitorio X del Acuerdo SUGEF 15-16.</w:t>
            </w:r>
          </w:p>
          <w:p w:rsidRPr="009A7BAA" w:rsidR="001A7DC5" w:rsidP="00C76717" w:rsidRDefault="001A7DC5" w14:paraId="33105F05" w14:textId="77777777">
            <w:pPr>
              <w:spacing w:line="240" w:lineRule="auto"/>
              <w:rPr>
                <w:sz w:val="24"/>
                <w:lang w:val="es-ES_tradnl" w:eastAsia="es-CR"/>
              </w:rPr>
            </w:pPr>
            <w:r w:rsidRPr="009A7BAA">
              <w:rPr>
                <w:color w:val="00B050"/>
                <w:sz w:val="24"/>
                <w:lang w:val="es-ES_tradnl" w:eastAsia="es-CR"/>
              </w:rPr>
              <w:t>Para su clasificación, se debe aplicar la definición correspondiente establecida en el artículo 3 del Acuerdo SUGEF 2-10.</w:t>
            </w:r>
          </w:p>
        </w:tc>
      </w:tr>
      <w:tr w:rsidRPr="009A7BAA" w:rsidR="001A7DC5" w:rsidTr="008E2384" w14:paraId="27F98655"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7F6331E3" w14:textId="77777777">
            <w:pPr>
              <w:spacing w:line="240" w:lineRule="auto"/>
              <w:jc w:val="center"/>
              <w:rPr>
                <w:color w:val="00B050"/>
                <w:sz w:val="24"/>
                <w:lang w:eastAsia="es-CR"/>
              </w:rPr>
            </w:pPr>
            <w:r w:rsidRPr="009A7BAA">
              <w:rPr>
                <w:color w:val="00B050"/>
                <w:sz w:val="24"/>
                <w:lang w:eastAsia="es-CR"/>
              </w:rPr>
              <w:t>7</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tcPr>
          <w:p w:rsidRPr="009A7BAA" w:rsidR="001A7DC5" w:rsidP="00C76717" w:rsidRDefault="001A7DC5" w14:paraId="1B7DBFE9" w14:textId="77777777">
            <w:pPr>
              <w:spacing w:line="240" w:lineRule="auto"/>
              <w:rPr>
                <w:sz w:val="24"/>
                <w:lang w:val="es-ES_tradnl" w:eastAsia="es-CR"/>
              </w:rPr>
            </w:pPr>
            <w:r w:rsidRPr="009A7BAA">
              <w:rPr>
                <w:color w:val="00B050"/>
                <w:sz w:val="24"/>
                <w:lang w:eastAsia="es-CR"/>
              </w:rPr>
              <w:t>Sin exposición a riesgo cambiario (cobertura financiera.)</w:t>
            </w:r>
          </w:p>
        </w:tc>
        <w:tc>
          <w:tcPr>
            <w:tcW w:w="326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42381D98" w14:textId="77777777">
            <w:pPr>
              <w:spacing w:line="240" w:lineRule="auto"/>
              <w:rPr>
                <w:color w:val="00B050"/>
                <w:sz w:val="24"/>
                <w:lang w:eastAsia="es-CR"/>
              </w:rPr>
            </w:pPr>
            <w:r w:rsidRPr="009A7BAA">
              <w:rPr>
                <w:color w:val="00B050"/>
                <w:sz w:val="24"/>
                <w:lang w:eastAsia="es-CR"/>
              </w:rPr>
              <w:t>Deudor sin exposición a riesgo cambiario cobertura financiera.</w:t>
            </w:r>
          </w:p>
          <w:p w:rsidRPr="009A7BAA" w:rsidR="001A7DC5" w:rsidP="00C76717" w:rsidRDefault="001A7DC5" w14:paraId="7DD422C9" w14:textId="77777777">
            <w:pPr>
              <w:spacing w:line="240" w:lineRule="auto"/>
              <w:rPr>
                <w:color w:val="00B050"/>
                <w:sz w:val="24"/>
                <w:lang w:val="es-ES_tradnl" w:eastAsia="es-CR"/>
              </w:rPr>
            </w:pPr>
            <w:r w:rsidRPr="009A7BAA">
              <w:rPr>
                <w:color w:val="00B050"/>
                <w:sz w:val="24"/>
                <w:lang w:val="es-ES_tradnl" w:eastAsia="es-CR"/>
              </w:rPr>
              <w:t>Transitorio X del Acuerdo SUGEF 15-16.</w:t>
            </w:r>
          </w:p>
          <w:p w:rsidRPr="009A7BAA" w:rsidR="001A7DC5" w:rsidP="00C76717" w:rsidRDefault="001A7DC5" w14:paraId="4E477FAA" w14:textId="77777777">
            <w:pPr>
              <w:spacing w:line="240" w:lineRule="auto"/>
              <w:rPr>
                <w:sz w:val="24"/>
                <w:lang w:val="es-ES_tradnl" w:eastAsia="es-CR"/>
              </w:rPr>
            </w:pPr>
            <w:r w:rsidRPr="009A7BAA">
              <w:rPr>
                <w:color w:val="00B050"/>
                <w:sz w:val="24"/>
                <w:lang w:val="es-ES_tradnl" w:eastAsia="es-CR"/>
              </w:rPr>
              <w:t>Para su clasificación, se debe aplicar la definición correspondiente establecida en el artículo 3 del Acuerdo SUGEF 2-10.</w:t>
            </w:r>
          </w:p>
        </w:tc>
      </w:tr>
      <w:tr w:rsidRPr="009A7BAA" w:rsidR="001A7DC5" w:rsidTr="008E2384" w14:paraId="7D5BF8E1"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2AA34219" w14:textId="77777777">
            <w:pPr>
              <w:spacing w:line="240" w:lineRule="auto"/>
              <w:jc w:val="center"/>
              <w:rPr>
                <w:color w:val="00B050"/>
                <w:sz w:val="24"/>
                <w:lang w:eastAsia="es-CR"/>
              </w:rPr>
            </w:pPr>
            <w:r w:rsidRPr="009A7BAA">
              <w:rPr>
                <w:color w:val="00B050"/>
                <w:sz w:val="24"/>
                <w:lang w:eastAsia="es-CR"/>
              </w:rPr>
              <w:t>8</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542B7D0B" w14:textId="77777777">
            <w:pPr>
              <w:spacing w:line="240" w:lineRule="auto"/>
              <w:rPr>
                <w:color w:val="00B050"/>
                <w:sz w:val="24"/>
                <w:lang w:eastAsia="es-CR"/>
              </w:rPr>
            </w:pPr>
            <w:r w:rsidRPr="009A7BAA">
              <w:rPr>
                <w:color w:val="00B050"/>
                <w:sz w:val="24"/>
                <w:lang w:eastAsia="es-CR"/>
              </w:rPr>
              <w:t>Sin exposición a riesgo cambiario</w:t>
            </w:r>
          </w:p>
          <w:p w:rsidRPr="009A7BAA" w:rsidR="001A7DC5" w:rsidP="00C76717" w:rsidRDefault="001A7DC5" w14:paraId="2368DF2C" w14:textId="77777777">
            <w:pPr>
              <w:spacing w:line="240" w:lineRule="auto"/>
              <w:rPr>
                <w:sz w:val="24"/>
                <w:lang w:val="es-ES_tradnl" w:eastAsia="es-CR"/>
              </w:rPr>
            </w:pPr>
            <w:r w:rsidRPr="009A7BAA">
              <w:rPr>
                <w:color w:val="00B050"/>
                <w:sz w:val="24"/>
                <w:lang w:eastAsia="es-CR"/>
              </w:rPr>
              <w:t xml:space="preserve">(cobertura mixta.) </w:t>
            </w:r>
          </w:p>
        </w:tc>
        <w:tc>
          <w:tcPr>
            <w:tcW w:w="326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09465C1A" w14:textId="77777777">
            <w:pPr>
              <w:spacing w:line="240" w:lineRule="auto"/>
              <w:rPr>
                <w:color w:val="00B050"/>
                <w:sz w:val="24"/>
                <w:lang w:eastAsia="es-CR"/>
              </w:rPr>
            </w:pPr>
            <w:r w:rsidRPr="009A7BAA">
              <w:rPr>
                <w:color w:val="00B050"/>
                <w:sz w:val="24"/>
                <w:lang w:eastAsia="es-CR"/>
              </w:rPr>
              <w:t>Deudor sin exposición a riesgo cambiario cobertura mixta.</w:t>
            </w:r>
          </w:p>
          <w:p w:rsidRPr="009A7BAA" w:rsidR="001A7DC5" w:rsidP="00C76717" w:rsidRDefault="001A7DC5" w14:paraId="6B47FF00" w14:textId="77777777">
            <w:pPr>
              <w:spacing w:line="240" w:lineRule="auto"/>
              <w:rPr>
                <w:color w:val="00B050"/>
                <w:sz w:val="24"/>
                <w:lang w:val="es-ES_tradnl" w:eastAsia="es-CR"/>
              </w:rPr>
            </w:pPr>
            <w:r w:rsidRPr="009A7BAA">
              <w:rPr>
                <w:color w:val="00B050"/>
                <w:sz w:val="24"/>
                <w:lang w:val="es-ES_tradnl" w:eastAsia="es-CR"/>
              </w:rPr>
              <w:t>Transitorio X del Acuerdo SUGEF 15-16.</w:t>
            </w:r>
          </w:p>
          <w:p w:rsidRPr="009A7BAA" w:rsidR="001A7DC5" w:rsidP="00C76717" w:rsidRDefault="001A7DC5" w14:paraId="440E8D9F" w14:textId="77777777">
            <w:pPr>
              <w:spacing w:line="240" w:lineRule="auto"/>
              <w:rPr>
                <w:sz w:val="24"/>
                <w:lang w:val="es-ES_tradnl" w:eastAsia="es-CR"/>
              </w:rPr>
            </w:pPr>
            <w:r w:rsidRPr="009A7BAA">
              <w:rPr>
                <w:color w:val="00B050"/>
                <w:sz w:val="24"/>
                <w:lang w:val="es-ES_tradnl" w:eastAsia="es-CR"/>
              </w:rPr>
              <w:t>Para su clasificación, se debe aplicar la definición correspondiente establecida en el artículo 3 del Acuerdo SUGEF 2-10.</w:t>
            </w:r>
          </w:p>
        </w:tc>
      </w:tr>
      <w:tr w:rsidRPr="009A7BAA" w:rsidR="001A7DC5" w:rsidTr="008E2384" w14:paraId="783498B6" w14:textId="77777777">
        <w:trPr>
          <w:trHeight w:val="170"/>
        </w:trPr>
        <w:tc>
          <w:tcPr>
            <w:tcW w:w="59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4C67D410" w14:textId="77777777">
            <w:pPr>
              <w:spacing w:line="240" w:lineRule="auto"/>
              <w:jc w:val="center"/>
              <w:rPr>
                <w:color w:val="00B050"/>
                <w:sz w:val="24"/>
                <w:lang w:eastAsia="es-CR"/>
              </w:rPr>
            </w:pPr>
            <w:r w:rsidRPr="009A7BAA">
              <w:rPr>
                <w:color w:val="00B050"/>
                <w:sz w:val="24"/>
                <w:lang w:eastAsia="es-CR"/>
              </w:rPr>
              <w:t>9</w:t>
            </w:r>
          </w:p>
        </w:tc>
        <w:tc>
          <w:tcPr>
            <w:tcW w:w="113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463F3B42" w14:textId="77777777">
            <w:pPr>
              <w:spacing w:line="240" w:lineRule="auto"/>
              <w:rPr>
                <w:sz w:val="24"/>
                <w:lang w:val="es-ES_tradnl" w:eastAsia="es-CR"/>
              </w:rPr>
            </w:pPr>
            <w:r w:rsidRPr="009A7BAA">
              <w:rPr>
                <w:color w:val="00B050"/>
                <w:sz w:val="24"/>
                <w:lang w:eastAsia="es-CR"/>
              </w:rPr>
              <w:t xml:space="preserve">Con exposición a riesgo cambiario </w:t>
            </w:r>
          </w:p>
        </w:tc>
        <w:tc>
          <w:tcPr>
            <w:tcW w:w="3266"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A7BAA" w:rsidR="001A7DC5" w:rsidP="00C76717" w:rsidRDefault="001A7DC5" w14:paraId="02D13DD4" w14:textId="77777777">
            <w:pPr>
              <w:spacing w:line="240" w:lineRule="auto"/>
              <w:rPr>
                <w:color w:val="00B050"/>
                <w:sz w:val="24"/>
                <w:lang w:eastAsia="es-CR"/>
              </w:rPr>
            </w:pPr>
            <w:r w:rsidRPr="009A7BAA">
              <w:rPr>
                <w:color w:val="00B050"/>
                <w:sz w:val="24"/>
                <w:lang w:eastAsia="es-CR"/>
              </w:rPr>
              <w:t>Deudor con exposición a riesgo cambiario.</w:t>
            </w:r>
          </w:p>
          <w:p w:rsidRPr="009A7BAA" w:rsidR="001A7DC5" w:rsidP="00C76717" w:rsidRDefault="001A7DC5" w14:paraId="303DA23E" w14:textId="77777777">
            <w:pPr>
              <w:spacing w:line="240" w:lineRule="auto"/>
              <w:rPr>
                <w:color w:val="00B050"/>
                <w:sz w:val="24"/>
                <w:lang w:val="es-ES_tradnl" w:eastAsia="es-CR"/>
              </w:rPr>
            </w:pPr>
            <w:r w:rsidRPr="009A7BAA">
              <w:rPr>
                <w:color w:val="00B050"/>
                <w:sz w:val="24"/>
                <w:lang w:val="es-ES_tradnl" w:eastAsia="es-CR"/>
              </w:rPr>
              <w:t>Transitorio X del Acuerdo SUGEF 15-16.</w:t>
            </w:r>
          </w:p>
          <w:p w:rsidRPr="009A7BAA" w:rsidR="001A7DC5" w:rsidP="00C76717" w:rsidRDefault="001A7DC5" w14:paraId="4785EF27" w14:textId="77777777">
            <w:pPr>
              <w:spacing w:line="240" w:lineRule="auto"/>
              <w:rPr>
                <w:sz w:val="24"/>
                <w:lang w:val="es-ES_tradnl" w:eastAsia="es-CR"/>
              </w:rPr>
            </w:pPr>
            <w:r w:rsidRPr="009A7BAA">
              <w:rPr>
                <w:color w:val="00B050"/>
                <w:sz w:val="24"/>
                <w:lang w:val="es-ES_tradnl" w:eastAsia="es-CR"/>
              </w:rPr>
              <w:t>Para su clasificación se debe aplicar la definición correspondiente establecida en el artículo 3 del Acuerdo SUGEF 2-10.</w:t>
            </w:r>
          </w:p>
        </w:tc>
      </w:tr>
    </w:tbl>
    <w:p w:rsidRPr="009A7BAA" w:rsidR="001A7DC5" w:rsidP="00C76717" w:rsidRDefault="001A7DC5" w14:paraId="14D36D63" w14:textId="77777777">
      <w:pPr>
        <w:spacing w:line="240" w:lineRule="auto"/>
        <w:ind w:left="851" w:hanging="425"/>
        <w:rPr>
          <w:sz w:val="24"/>
        </w:rPr>
      </w:pPr>
    </w:p>
    <w:p w:rsidRPr="009A7BAA" w:rsidR="001A7DC5" w:rsidP="00C76717" w:rsidRDefault="001A7DC5" w14:paraId="0E183EC4" w14:textId="77777777">
      <w:pPr>
        <w:pStyle w:val="Prrafodelista"/>
        <w:numPr>
          <w:ilvl w:val="0"/>
          <w:numId w:val="9"/>
        </w:numPr>
        <w:ind w:left="851" w:hanging="425"/>
        <w:jc w:val="both"/>
        <w:rPr>
          <w:rFonts w:ascii="Cambria" w:hAnsi="Cambria"/>
        </w:rPr>
      </w:pPr>
      <w:r w:rsidRPr="009A7BAA">
        <w:rPr>
          <w:rFonts w:ascii="Cambria" w:hAnsi="Cambria"/>
        </w:rPr>
        <w:t>Incluir las siguientes validaciones que entrarán en vigor, a partir de la carga de la información crediticia remitida con fecha de corte enero de 2023.</w:t>
      </w:r>
    </w:p>
    <w:p w:rsidRPr="009A7BAA" w:rsidR="001A7DC5" w:rsidP="00C76717" w:rsidRDefault="001A7DC5" w14:paraId="532CA9D6" w14:textId="77777777">
      <w:pPr>
        <w:spacing w:line="240" w:lineRule="auto"/>
        <w:rPr>
          <w:sz w:val="24"/>
        </w:rPr>
      </w:pPr>
    </w:p>
    <w:tbl>
      <w:tblPr>
        <w:tblStyle w:val="Tablaconcuadrcula"/>
        <w:tblW w:w="8926" w:type="dxa"/>
        <w:jc w:val="center"/>
        <w:tblLayout w:type="fixed"/>
        <w:tblLook w:val="04A0" w:firstRow="1" w:lastRow="0" w:firstColumn="1" w:lastColumn="0" w:noHBand="0" w:noVBand="1"/>
      </w:tblPr>
      <w:tblGrid>
        <w:gridCol w:w="7792"/>
        <w:gridCol w:w="1134"/>
      </w:tblGrid>
      <w:tr w:rsidRPr="009A7BAA" w:rsidR="001A7DC5" w:rsidTr="00C76717" w14:paraId="4001E595" w14:textId="77777777">
        <w:trPr>
          <w:trHeight w:val="705"/>
          <w:tblHeader/>
          <w:jc w:val="center"/>
        </w:trPr>
        <w:tc>
          <w:tcPr>
            <w:tcW w:w="7792"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9A7BAA" w:rsidR="001A7DC5" w:rsidP="00C76717" w:rsidRDefault="001A7DC5" w14:paraId="737C5F44" w14:textId="77777777">
            <w:pPr>
              <w:spacing w:line="240" w:lineRule="auto"/>
              <w:jc w:val="center"/>
              <w:rPr>
                <w:b/>
                <w:bCs/>
                <w:sz w:val="24"/>
              </w:rPr>
            </w:pPr>
            <w:r w:rsidRPr="009A7BAA">
              <w:rPr>
                <w:b/>
                <w:bCs/>
                <w:sz w:val="24"/>
              </w:rPr>
              <w:t>Descripción</w:t>
            </w:r>
          </w:p>
        </w:tc>
        <w:tc>
          <w:tcPr>
            <w:tcW w:w="1134"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9A7BAA" w:rsidR="001A7DC5" w:rsidP="00C76717" w:rsidRDefault="001A7DC5" w14:paraId="055F9C75" w14:textId="77777777">
            <w:pPr>
              <w:spacing w:line="240" w:lineRule="auto"/>
              <w:jc w:val="center"/>
              <w:rPr>
                <w:b/>
                <w:bCs/>
                <w:sz w:val="24"/>
              </w:rPr>
            </w:pPr>
            <w:r w:rsidRPr="009A7BAA">
              <w:rPr>
                <w:b/>
                <w:bCs/>
                <w:sz w:val="24"/>
              </w:rPr>
              <w:t>Archivo</w:t>
            </w:r>
          </w:p>
        </w:tc>
      </w:tr>
      <w:tr w:rsidRPr="009A7BAA" w:rsidR="001A7DC5" w:rsidTr="00C76717" w14:paraId="21C9D504" w14:textId="77777777">
        <w:trPr>
          <w:trHeight w:val="1230"/>
          <w:jc w:val="center"/>
        </w:trPr>
        <w:tc>
          <w:tcPr>
            <w:tcW w:w="7792" w:type="dxa"/>
            <w:tcBorders>
              <w:top w:val="single" w:color="auto" w:sz="4" w:space="0"/>
              <w:left w:val="single" w:color="auto" w:sz="4" w:space="0"/>
              <w:bottom w:val="single" w:color="auto" w:sz="4" w:space="0"/>
              <w:right w:val="single" w:color="auto" w:sz="4" w:space="0"/>
            </w:tcBorders>
            <w:vAlign w:val="center"/>
          </w:tcPr>
          <w:p w:rsidRPr="009A7BAA" w:rsidR="001A7DC5" w:rsidP="00C76717" w:rsidRDefault="001A7DC5" w14:paraId="23D15DFF" w14:textId="77777777">
            <w:pPr>
              <w:spacing w:line="240" w:lineRule="auto"/>
              <w:rPr>
                <w:sz w:val="24"/>
                <w:lang w:val="es-CR"/>
              </w:rPr>
            </w:pPr>
            <w:r w:rsidRPr="009A7BAA">
              <w:rPr>
                <w:sz w:val="24"/>
                <w:lang w:val="es-CR"/>
              </w:rPr>
              <w:t>Cuando el dato del campo 'IndGeneradorDivisasSBD' corresponde al código '5', el dato del campo 'TipoOperacion' del archivo Operaciones Crediticias de todas las operaciones del deudor, incluidas las codeudas, debe ser 7, donde el código del campo 'TipoOperacionSFN' sea 3 ó 4.</w:t>
            </w:r>
          </w:p>
        </w:tc>
        <w:tc>
          <w:tcPr>
            <w:tcW w:w="1134" w:type="dxa"/>
            <w:tcBorders>
              <w:top w:val="single" w:color="auto" w:sz="4" w:space="0"/>
              <w:left w:val="single" w:color="auto" w:sz="4" w:space="0"/>
              <w:bottom w:val="single" w:color="auto" w:sz="4" w:space="0"/>
              <w:right w:val="single" w:color="auto" w:sz="4" w:space="0"/>
            </w:tcBorders>
            <w:noWrap/>
            <w:vAlign w:val="center"/>
          </w:tcPr>
          <w:p w:rsidRPr="009A7BAA" w:rsidR="001A7DC5" w:rsidP="00C76717" w:rsidRDefault="001A7DC5" w14:paraId="320FC373" w14:textId="77777777">
            <w:pPr>
              <w:spacing w:line="240" w:lineRule="auto"/>
              <w:rPr>
                <w:sz w:val="24"/>
              </w:rPr>
            </w:pPr>
            <w:r w:rsidRPr="009A7BAA">
              <w:rPr>
                <w:sz w:val="24"/>
              </w:rPr>
              <w:t>Deudores</w:t>
            </w:r>
          </w:p>
        </w:tc>
      </w:tr>
      <w:tr w:rsidRPr="009A7BAA" w:rsidR="001A7DC5" w:rsidTr="00C76717" w14:paraId="1F4D9AD1" w14:textId="77777777">
        <w:trPr>
          <w:trHeight w:val="690"/>
          <w:jc w:val="center"/>
        </w:trPr>
        <w:tc>
          <w:tcPr>
            <w:tcW w:w="7792" w:type="dxa"/>
            <w:tcBorders>
              <w:top w:val="single" w:color="auto" w:sz="4" w:space="0"/>
              <w:left w:val="single" w:color="auto" w:sz="4" w:space="0"/>
              <w:bottom w:val="single" w:color="auto" w:sz="4" w:space="0"/>
              <w:right w:val="single" w:color="auto" w:sz="4" w:space="0"/>
            </w:tcBorders>
            <w:shd w:val="clear" w:color="auto" w:fill="auto"/>
            <w:vAlign w:val="center"/>
          </w:tcPr>
          <w:p w:rsidRPr="009A7BAA" w:rsidR="001A7DC5" w:rsidP="00C76717" w:rsidRDefault="001A7DC5" w14:paraId="56FDC3CF" w14:textId="77777777">
            <w:pPr>
              <w:spacing w:line="240" w:lineRule="auto"/>
              <w:rPr>
                <w:sz w:val="24"/>
              </w:rPr>
            </w:pPr>
            <w:r w:rsidRPr="009A7BAA">
              <w:rPr>
                <w:sz w:val="24"/>
              </w:rPr>
              <w:t>Cuando el dato del campo 'IndGeneradorDivisasSBD' corresponde al código 6, 7, 8 ó 9, el dato del campo 'TipoMonedaMonto' debe ser diferente a 1 ó 4 en al menos una de sus operaciones, incluidas las codeudas, donde el código del campo 'TipoOperacionSFN' sea 3 ó 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9A7BAA" w:rsidR="001A7DC5" w:rsidP="00C76717" w:rsidRDefault="001A7DC5" w14:paraId="604DAF5E" w14:textId="77777777">
            <w:pPr>
              <w:spacing w:line="240" w:lineRule="auto"/>
              <w:rPr>
                <w:sz w:val="24"/>
              </w:rPr>
            </w:pPr>
            <w:r w:rsidRPr="009A7BAA">
              <w:rPr>
                <w:sz w:val="24"/>
              </w:rPr>
              <w:t>Deudores</w:t>
            </w:r>
          </w:p>
        </w:tc>
      </w:tr>
      <w:tr w:rsidRPr="009A7BAA" w:rsidR="001A7DC5" w:rsidTr="00C76717" w14:paraId="6C591318" w14:textId="77777777">
        <w:trPr>
          <w:trHeight w:val="949"/>
          <w:jc w:val="center"/>
        </w:trPr>
        <w:tc>
          <w:tcPr>
            <w:tcW w:w="7792" w:type="dxa"/>
            <w:tcBorders>
              <w:top w:val="single" w:color="auto" w:sz="4" w:space="0"/>
              <w:left w:val="single" w:color="auto" w:sz="4" w:space="0"/>
              <w:bottom w:val="single" w:color="auto" w:sz="4" w:space="0"/>
              <w:right w:val="single" w:color="auto" w:sz="4" w:space="0"/>
            </w:tcBorders>
            <w:shd w:val="clear" w:color="auto" w:fill="auto"/>
            <w:vAlign w:val="center"/>
          </w:tcPr>
          <w:p w:rsidRPr="009A7BAA" w:rsidR="001A7DC5" w:rsidP="00C76717" w:rsidRDefault="001A7DC5" w14:paraId="7F390C74" w14:textId="77777777">
            <w:pPr>
              <w:spacing w:line="240" w:lineRule="auto"/>
              <w:rPr>
                <w:sz w:val="24"/>
              </w:rPr>
            </w:pPr>
            <w:r w:rsidRPr="009A7BAA">
              <w:rPr>
                <w:sz w:val="24"/>
              </w:rPr>
              <w:t>En el campo “IndGeneradorDivisasSBD” no se pueden reportar los valores 1, 2, ó 3 para períodos de corte posteriores a diciembre 2022.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9A7BAA" w:rsidR="001A7DC5" w:rsidP="00C76717" w:rsidRDefault="001A7DC5" w14:paraId="4A9FB7C0" w14:textId="77777777">
            <w:pPr>
              <w:spacing w:line="240" w:lineRule="auto"/>
              <w:rPr>
                <w:sz w:val="24"/>
              </w:rPr>
            </w:pPr>
            <w:r w:rsidRPr="009A7BAA">
              <w:rPr>
                <w:sz w:val="24"/>
              </w:rPr>
              <w:t>Deudores</w:t>
            </w:r>
          </w:p>
        </w:tc>
      </w:tr>
      <w:tr w:rsidRPr="009A7BAA" w:rsidR="001A7DC5" w:rsidTr="00C76717" w14:paraId="455C2404" w14:textId="77777777">
        <w:trPr>
          <w:trHeight w:val="849"/>
          <w:jc w:val="center"/>
        </w:trPr>
        <w:tc>
          <w:tcPr>
            <w:tcW w:w="7792" w:type="dxa"/>
            <w:tcBorders>
              <w:top w:val="single" w:color="auto" w:sz="4" w:space="0"/>
              <w:left w:val="single" w:color="auto" w:sz="4" w:space="0"/>
              <w:bottom w:val="single" w:color="auto" w:sz="4" w:space="0"/>
              <w:right w:val="single" w:color="auto" w:sz="4" w:space="0"/>
            </w:tcBorders>
            <w:shd w:val="clear" w:color="auto" w:fill="auto"/>
            <w:vAlign w:val="center"/>
          </w:tcPr>
          <w:p w:rsidRPr="009A7BAA" w:rsidR="001A7DC5" w:rsidP="00C76717" w:rsidRDefault="001A7DC5" w14:paraId="303E7176" w14:textId="77777777">
            <w:pPr>
              <w:spacing w:line="240" w:lineRule="auto"/>
              <w:rPr>
                <w:sz w:val="24"/>
              </w:rPr>
            </w:pPr>
            <w:r w:rsidRPr="009A7BAA">
              <w:rPr>
                <w:sz w:val="24"/>
              </w:rPr>
              <w:t>En el campo “IndGeneradorDivisasSBD” no pueden reportar los valores 5, 6, 7, 8 ó 9 para períodos de corte anteriores a enero 2023.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9A7BAA" w:rsidR="001A7DC5" w:rsidP="00C76717" w:rsidRDefault="001A7DC5" w14:paraId="66938B84" w14:textId="77777777">
            <w:pPr>
              <w:spacing w:line="240" w:lineRule="auto"/>
              <w:rPr>
                <w:sz w:val="24"/>
              </w:rPr>
            </w:pPr>
            <w:r w:rsidRPr="009A7BAA">
              <w:rPr>
                <w:sz w:val="24"/>
              </w:rPr>
              <w:t>Deudores</w:t>
            </w:r>
          </w:p>
        </w:tc>
      </w:tr>
    </w:tbl>
    <w:p w:rsidRPr="009A7BAA" w:rsidR="001A7DC5" w:rsidP="00C76717" w:rsidRDefault="001A7DC5" w14:paraId="7ADE77DB" w14:textId="77777777">
      <w:pPr>
        <w:spacing w:line="240" w:lineRule="auto"/>
        <w:rPr>
          <w:sz w:val="24"/>
        </w:rPr>
      </w:pPr>
    </w:p>
    <w:p w:rsidRPr="009A7BAA" w:rsidR="001A7DC5" w:rsidP="009A7BAA" w:rsidRDefault="001A7DC5" w14:paraId="75A0EE4B" w14:textId="546FD5E8">
      <w:pPr>
        <w:spacing w:line="240" w:lineRule="auto"/>
        <w:ind w:left="426" w:hanging="426"/>
        <w:rPr>
          <w:bCs/>
          <w:sz w:val="24"/>
        </w:rPr>
      </w:pPr>
      <w:r w:rsidRPr="009A7BAA">
        <w:rPr>
          <w:b/>
          <w:sz w:val="24"/>
        </w:rPr>
        <w:t xml:space="preserve">C. </w:t>
      </w:r>
      <w:r w:rsidRPr="009A7BAA">
        <w:rPr>
          <w:b/>
          <w:sz w:val="24"/>
        </w:rPr>
        <w:tab/>
      </w:r>
      <w:r w:rsidRPr="009A7BAA">
        <w:rPr>
          <w:sz w:val="24"/>
        </w:rPr>
        <w:t>Cambios a validaciones del documento</w:t>
      </w:r>
      <w:r w:rsidRPr="009A7BAA">
        <w:rPr>
          <w:b/>
          <w:sz w:val="24"/>
        </w:rPr>
        <w:t xml:space="preserve"> “</w:t>
      </w:r>
      <w:r w:rsidRPr="009A7BAA">
        <w:rPr>
          <w:sz w:val="24"/>
        </w:rPr>
        <w:t xml:space="preserve">Documentación de Datos de Envío Clase de datos Operaciones Crediticias” originados por la revisión y ajustes continuos a este documento, las cuales se detallan en el apartado de “Control de Cambio” que se indica en el referido documento. </w:t>
      </w:r>
    </w:p>
    <w:p w:rsidRPr="009A7BAA" w:rsidR="001A7DC5" w:rsidP="00C76717" w:rsidRDefault="001A7DC5" w14:paraId="39E2A1EA" w14:textId="77777777">
      <w:pPr>
        <w:spacing w:line="240" w:lineRule="auto"/>
        <w:ind w:left="426" w:hanging="426"/>
        <w:rPr>
          <w:bCs/>
          <w:sz w:val="24"/>
        </w:rPr>
      </w:pPr>
      <w:r w:rsidRPr="009A7BAA">
        <w:rPr>
          <w:bCs/>
          <w:sz w:val="24"/>
        </w:rPr>
        <w:lastRenderedPageBreak/>
        <w:t>El detalle de cambios es el siguiente:</w:t>
      </w:r>
    </w:p>
    <w:p w:rsidRPr="009A7BAA" w:rsidR="001A7DC5" w:rsidP="00C76717" w:rsidRDefault="001A7DC5" w14:paraId="466A72C9" w14:textId="77777777">
      <w:pPr>
        <w:spacing w:line="240" w:lineRule="auto"/>
        <w:ind w:left="426" w:hanging="426"/>
        <w:rPr>
          <w:bCs/>
          <w:sz w:val="24"/>
        </w:rPr>
      </w:pPr>
    </w:p>
    <w:tbl>
      <w:tblPr>
        <w:tblStyle w:val="Tablaconcuadrcula"/>
        <w:tblW w:w="9259" w:type="dxa"/>
        <w:tblLook w:val="04A0" w:firstRow="1" w:lastRow="0" w:firstColumn="1" w:lastColumn="0" w:noHBand="0" w:noVBand="1"/>
      </w:tblPr>
      <w:tblGrid>
        <w:gridCol w:w="239"/>
        <w:gridCol w:w="1452"/>
        <w:gridCol w:w="239"/>
        <w:gridCol w:w="7329"/>
      </w:tblGrid>
      <w:tr w:rsidRPr="009A7BAA" w:rsidR="001A7DC5" w:rsidTr="00D20421" w14:paraId="74591999" w14:textId="77777777">
        <w:trPr>
          <w:trHeight w:val="330"/>
          <w:tblHeader/>
        </w:trPr>
        <w:tc>
          <w:tcPr>
            <w:tcW w:w="1691" w:type="dxa"/>
            <w:gridSpan w:val="2"/>
            <w:tcBorders>
              <w:top w:val="single" w:color="273248" w:sz="12" w:space="0"/>
              <w:left w:val="single" w:color="273248" w:sz="12" w:space="0"/>
              <w:bottom w:val="single" w:color="273248" w:sz="12" w:space="0"/>
              <w:right w:val="single" w:color="273248" w:sz="4" w:space="0"/>
            </w:tcBorders>
            <w:shd w:val="clear" w:color="auto" w:fill="273248"/>
            <w:vAlign w:val="center"/>
          </w:tcPr>
          <w:p w:rsidRPr="009A7BAA" w:rsidR="001A7DC5" w:rsidP="00C76717" w:rsidRDefault="001A7DC5" w14:paraId="7CC26E9E" w14:textId="77777777">
            <w:pPr>
              <w:keepNext/>
              <w:keepLines/>
              <w:spacing w:line="240" w:lineRule="auto"/>
              <w:jc w:val="center"/>
              <w:rPr>
                <w:rFonts w:cstheme="minorHAnsi"/>
                <w:sz w:val="24"/>
              </w:rPr>
            </w:pPr>
          </w:p>
        </w:tc>
        <w:tc>
          <w:tcPr>
            <w:tcW w:w="239" w:type="dxa"/>
            <w:tcBorders>
              <w:top w:val="single" w:color="273248" w:sz="12" w:space="0"/>
              <w:left w:val="single" w:color="273248" w:sz="4" w:space="0"/>
              <w:bottom w:val="single" w:color="273248" w:sz="12" w:space="0"/>
              <w:right w:val="nil"/>
            </w:tcBorders>
            <w:shd w:val="clear" w:color="auto" w:fill="273248"/>
          </w:tcPr>
          <w:p w:rsidRPr="009A7BAA" w:rsidR="001A7DC5" w:rsidP="00C76717" w:rsidRDefault="001A7DC5" w14:paraId="4A1AAF4A" w14:textId="77777777">
            <w:pPr>
              <w:keepNext/>
              <w:keepLines/>
              <w:spacing w:line="240" w:lineRule="auto"/>
              <w:rPr>
                <w:rFonts w:cstheme="minorHAnsi"/>
                <w:sz w:val="24"/>
              </w:rPr>
            </w:pPr>
          </w:p>
        </w:tc>
        <w:tc>
          <w:tcPr>
            <w:tcW w:w="7329" w:type="dxa"/>
            <w:tcBorders>
              <w:top w:val="single" w:color="273248" w:sz="12" w:space="0"/>
              <w:left w:val="nil"/>
              <w:bottom w:val="single" w:color="273248" w:sz="12" w:space="0"/>
              <w:right w:val="single" w:color="273248" w:sz="12" w:space="0"/>
            </w:tcBorders>
            <w:shd w:val="clear" w:color="auto" w:fill="273248"/>
          </w:tcPr>
          <w:p w:rsidRPr="009A7BAA" w:rsidR="001A7DC5" w:rsidP="00C76717" w:rsidRDefault="001A7DC5" w14:paraId="7CC38884" w14:textId="77777777">
            <w:pPr>
              <w:keepNext/>
              <w:keepLines/>
              <w:spacing w:line="240" w:lineRule="auto"/>
              <w:rPr>
                <w:rFonts w:cstheme="minorHAnsi"/>
                <w:sz w:val="24"/>
              </w:rPr>
            </w:pPr>
            <w:r w:rsidRPr="009A7BAA">
              <w:rPr>
                <w:rFonts w:cstheme="minorHAnsi"/>
                <w:sz w:val="24"/>
              </w:rPr>
              <w:t>RESUMEN DE CAMBIOS</w:t>
            </w:r>
          </w:p>
        </w:tc>
      </w:tr>
      <w:tr w:rsidRPr="009A7BAA" w:rsidR="001A7DC5" w:rsidTr="008E2384" w14:paraId="4832C48E" w14:textId="77777777">
        <w:trPr>
          <w:trHeight w:val="19"/>
        </w:trPr>
        <w:tc>
          <w:tcPr>
            <w:tcW w:w="239" w:type="dxa"/>
            <w:tcBorders>
              <w:top w:val="single" w:color="273248" w:sz="12" w:space="0"/>
              <w:bottom w:val="single" w:color="273248" w:sz="12" w:space="0"/>
              <w:right w:val="nil"/>
            </w:tcBorders>
          </w:tcPr>
          <w:p w:rsidRPr="009A7BAA" w:rsidR="001A7DC5" w:rsidP="00C76717" w:rsidRDefault="001A7DC5" w14:paraId="19380748" w14:textId="77777777">
            <w:pPr>
              <w:keepNext/>
              <w:keepLines/>
              <w:spacing w:line="240" w:lineRule="auto"/>
              <w:rPr>
                <w:rFonts w:cstheme="minorHAnsi"/>
                <w:sz w:val="24"/>
              </w:rPr>
            </w:pPr>
          </w:p>
        </w:tc>
        <w:tc>
          <w:tcPr>
            <w:tcW w:w="9020" w:type="dxa"/>
            <w:gridSpan w:val="3"/>
            <w:tcBorders>
              <w:top w:val="single" w:color="273248" w:sz="12" w:space="0"/>
              <w:left w:val="nil"/>
              <w:bottom w:val="single" w:color="273248" w:sz="12" w:space="0"/>
              <w:right w:val="single" w:color="273248" w:sz="12" w:space="0"/>
            </w:tcBorders>
          </w:tcPr>
          <w:p w:rsidRPr="009A7BAA" w:rsidR="001A7DC5" w:rsidP="00C76717" w:rsidRDefault="001A7DC5" w14:paraId="157C2302" w14:textId="77777777">
            <w:pPr>
              <w:pStyle w:val="Texto"/>
              <w:keepNext/>
              <w:keepLines/>
              <w:shd w:val="clear" w:color="auto" w:fill="EFF5FB"/>
              <w:spacing w:before="0" w:after="0" w:line="240" w:lineRule="auto"/>
              <w:rPr>
                <w:rFonts w:cstheme="minorHAnsi"/>
                <w:b/>
                <w:bCs/>
                <w:color w:val="273248"/>
                <w:sz w:val="24"/>
              </w:rPr>
            </w:pPr>
            <w:r w:rsidRPr="009A7BAA">
              <w:rPr>
                <w:rFonts w:cstheme="minorHAnsi"/>
                <w:b/>
                <w:bCs/>
                <w:color w:val="273248"/>
                <w:sz w:val="24"/>
              </w:rPr>
              <w:t>Cambios en Clase Datos Crediticia. Archivo Operaciones.</w:t>
            </w:r>
          </w:p>
          <w:p w:rsidRPr="009A7BAA" w:rsidR="001A7DC5" w:rsidP="00C76717" w:rsidRDefault="001A7DC5" w14:paraId="5657D300" w14:textId="77777777">
            <w:pPr>
              <w:pStyle w:val="Prrafodelista"/>
              <w:keepNext/>
              <w:keepLines/>
              <w:numPr>
                <w:ilvl w:val="0"/>
                <w:numId w:val="6"/>
              </w:numPr>
              <w:ind w:left="457"/>
              <w:jc w:val="both"/>
              <w:rPr>
                <w:rFonts w:ascii="Cambria" w:hAnsi="Cambria" w:cstheme="minorHAnsi"/>
              </w:rPr>
            </w:pPr>
            <w:r w:rsidRPr="009A7BAA">
              <w:rPr>
                <w:rFonts w:ascii="Cambria" w:hAnsi="Cambria" w:cstheme="minorHAnsi"/>
              </w:rPr>
              <w:t>Bloque de Validaciones para la Información de Operaciones Crediticias</w:t>
            </w:r>
          </w:p>
          <w:p w:rsidRPr="009A7BAA" w:rsidR="001A7DC5" w:rsidP="00C76717" w:rsidRDefault="001A7DC5" w14:paraId="02468796" w14:textId="77777777">
            <w:pPr>
              <w:pStyle w:val="Prrafodelista"/>
              <w:keepNext/>
              <w:keepLines/>
              <w:ind w:left="457"/>
              <w:rPr>
                <w:rFonts w:ascii="Cambria" w:hAnsi="Cambria" w:cstheme="minorHAnsi"/>
              </w:rPr>
            </w:pPr>
            <w:r w:rsidRPr="009A7BAA">
              <w:rPr>
                <w:rFonts w:ascii="Cambria" w:hAnsi="Cambria" w:cstheme="minorHAnsi"/>
              </w:rPr>
              <w:t>Se modifica la Validación 10. CS 40740</w:t>
            </w:r>
          </w:p>
          <w:p w:rsidRPr="009A7BAA" w:rsidR="001A7DC5" w:rsidP="00C76717" w:rsidRDefault="001A7DC5" w14:paraId="66CC3E23" w14:textId="77777777">
            <w:pPr>
              <w:pStyle w:val="Prrafodelista"/>
              <w:keepNext/>
              <w:keepLines/>
              <w:ind w:left="457"/>
              <w:rPr>
                <w:rFonts w:ascii="Cambria" w:hAnsi="Cambria" w:cstheme="minorHAnsi"/>
                <w:color w:val="92D050"/>
              </w:rPr>
            </w:pPr>
            <w:r w:rsidRPr="009A7BAA">
              <w:rPr>
                <w:rFonts w:ascii="Cambria" w:hAnsi="Cambria" w:cstheme="minorHAnsi"/>
                <w:color w:val="92D050"/>
              </w:rPr>
              <w:t>Se modifica la validación 39. Se adiciona el campo DistritoDestinoCredito. Comunicado SGF 2200-2022 del 2 de noviembre de 2022.</w:t>
            </w:r>
          </w:p>
          <w:p w:rsidRPr="009A7BAA" w:rsidR="001A7DC5" w:rsidP="00C76717" w:rsidRDefault="001A7DC5" w14:paraId="4478AAD8" w14:textId="77777777">
            <w:pPr>
              <w:pStyle w:val="Prrafodelista"/>
              <w:keepNext/>
              <w:keepLines/>
              <w:ind w:left="457"/>
              <w:rPr>
                <w:rFonts w:ascii="Cambria" w:hAnsi="Cambria" w:cstheme="minorHAnsi"/>
              </w:rPr>
            </w:pPr>
            <w:r w:rsidRPr="009A7BAA">
              <w:rPr>
                <w:rFonts w:ascii="Cambria" w:hAnsi="Cambria" w:cstheme="minorHAnsi"/>
              </w:rPr>
              <w:t>Se modifica la validación 129. (se modifica la redacción)</w:t>
            </w:r>
          </w:p>
          <w:p w:rsidRPr="009A7BAA" w:rsidR="001A7DC5" w:rsidP="00C76717" w:rsidRDefault="001A7DC5" w14:paraId="643F010D" w14:textId="77777777">
            <w:pPr>
              <w:pStyle w:val="Prrafodelista"/>
              <w:keepNext/>
              <w:keepLines/>
              <w:ind w:left="457"/>
              <w:rPr>
                <w:rFonts w:ascii="Cambria" w:hAnsi="Cambria" w:cstheme="minorHAnsi"/>
              </w:rPr>
            </w:pPr>
            <w:r w:rsidRPr="009A7BAA">
              <w:rPr>
                <w:rFonts w:ascii="Cambria" w:hAnsi="Cambria" w:cstheme="minorHAnsi"/>
              </w:rPr>
              <w:t>Se inactiva la validación 205. Se inactiva</w:t>
            </w:r>
          </w:p>
          <w:p w:rsidRPr="009A7BAA" w:rsidR="001A7DC5" w:rsidP="00C76717" w:rsidRDefault="001A7DC5" w14:paraId="60182EBB" w14:textId="77777777">
            <w:pPr>
              <w:pStyle w:val="Prrafodelista"/>
              <w:keepNext/>
              <w:keepLines/>
              <w:ind w:left="457"/>
              <w:rPr>
                <w:rFonts w:ascii="Cambria" w:hAnsi="Cambria" w:cstheme="minorHAnsi"/>
              </w:rPr>
            </w:pPr>
            <w:r w:rsidRPr="009A7BAA">
              <w:rPr>
                <w:rFonts w:ascii="Cambria" w:hAnsi="Cambria" w:cstheme="minorHAnsi"/>
              </w:rPr>
              <w:t>Se modifica la validación 206. Se modifica la redacción.</w:t>
            </w:r>
          </w:p>
          <w:p w:rsidRPr="009A7BAA" w:rsidR="001A7DC5" w:rsidP="00C76717" w:rsidRDefault="001A7DC5" w14:paraId="1AC5A210" w14:textId="77777777">
            <w:pPr>
              <w:pStyle w:val="Prrafodelista"/>
              <w:keepNext/>
              <w:keepLines/>
              <w:ind w:left="457"/>
              <w:rPr>
                <w:rFonts w:ascii="Cambria" w:hAnsi="Cambria" w:cstheme="minorHAnsi"/>
              </w:rPr>
            </w:pPr>
            <w:r w:rsidRPr="009A7BAA">
              <w:rPr>
                <w:rFonts w:ascii="Cambria" w:hAnsi="Cambria" w:cstheme="minorHAnsi"/>
              </w:rPr>
              <w:t>Se crea la validación 236. Back to back</w:t>
            </w:r>
          </w:p>
          <w:p w:rsidRPr="009A7BAA" w:rsidR="001A7DC5" w:rsidP="00C76717" w:rsidRDefault="001A7DC5" w14:paraId="2AE70965" w14:textId="77777777">
            <w:pPr>
              <w:pStyle w:val="Prrafodelista"/>
              <w:keepNext/>
              <w:keepLines/>
              <w:ind w:left="457"/>
              <w:rPr>
                <w:rFonts w:ascii="Cambria" w:hAnsi="Cambria" w:cstheme="minorHAnsi"/>
                <w:color w:val="00B050"/>
              </w:rPr>
            </w:pPr>
            <w:r w:rsidRPr="009A7BAA">
              <w:rPr>
                <w:rFonts w:ascii="Cambria" w:hAnsi="Cambria" w:cstheme="minorHAnsi"/>
                <w:color w:val="00B050"/>
              </w:rPr>
              <w:t xml:space="preserve">Se adicionan las validaciones 237 a 245. </w:t>
            </w:r>
            <w:r w:rsidRPr="009A7BAA">
              <w:rPr>
                <w:rFonts w:ascii="Cambria" w:hAnsi="Cambria" w:cstheme="minorHAnsi"/>
                <w:color w:val="92D050"/>
              </w:rPr>
              <w:t>Comunicado SGF 2200-2022</w:t>
            </w:r>
          </w:p>
          <w:p w:rsidRPr="009A7BAA" w:rsidR="001A7DC5" w:rsidP="00C76717" w:rsidRDefault="001A7DC5" w14:paraId="7C602966" w14:textId="77777777">
            <w:pPr>
              <w:pStyle w:val="Prrafodelista"/>
              <w:keepNext/>
              <w:keepLines/>
              <w:ind w:left="457"/>
              <w:rPr>
                <w:rFonts w:ascii="Cambria" w:hAnsi="Cambria" w:cstheme="minorHAnsi"/>
              </w:rPr>
            </w:pPr>
          </w:p>
          <w:p w:rsidRPr="009A7BAA" w:rsidR="001A7DC5" w:rsidP="00C76717" w:rsidRDefault="001A7DC5" w14:paraId="102139B9" w14:textId="77777777">
            <w:pPr>
              <w:pStyle w:val="Texto"/>
              <w:keepNext/>
              <w:keepLines/>
              <w:shd w:val="clear" w:color="auto" w:fill="EFF5FB"/>
              <w:spacing w:before="0" w:after="0" w:line="240" w:lineRule="auto"/>
              <w:rPr>
                <w:rFonts w:cstheme="minorHAnsi"/>
                <w:b/>
                <w:bCs/>
                <w:color w:val="273248"/>
                <w:sz w:val="24"/>
              </w:rPr>
            </w:pPr>
            <w:r w:rsidRPr="009A7BAA">
              <w:rPr>
                <w:rFonts w:cstheme="minorHAnsi"/>
                <w:b/>
                <w:bCs/>
                <w:color w:val="273248"/>
                <w:sz w:val="24"/>
              </w:rPr>
              <w:t>Cambios en Clase Datos Crediticio, archivo Garantía Operaciones.</w:t>
            </w:r>
          </w:p>
          <w:p w:rsidRPr="009A7BAA" w:rsidR="001A7DC5" w:rsidP="00C76717" w:rsidRDefault="001A7DC5" w14:paraId="65B037DC" w14:textId="77777777">
            <w:pPr>
              <w:pStyle w:val="Prrafodelista"/>
              <w:keepNext/>
              <w:keepLines/>
              <w:numPr>
                <w:ilvl w:val="0"/>
                <w:numId w:val="7"/>
              </w:numPr>
              <w:jc w:val="both"/>
              <w:rPr>
                <w:rFonts w:ascii="Cambria" w:hAnsi="Cambria" w:cstheme="minorHAnsi"/>
              </w:rPr>
            </w:pPr>
            <w:r w:rsidRPr="009A7BAA">
              <w:rPr>
                <w:rFonts w:ascii="Cambria" w:hAnsi="Cambria" w:cstheme="minorHAnsi"/>
              </w:rPr>
              <w:t>Validaciones Para La Información De Garantías De Operaciones</w:t>
            </w:r>
          </w:p>
          <w:p w:rsidRPr="009A7BAA" w:rsidR="001A7DC5" w:rsidP="00C76717" w:rsidRDefault="001A7DC5" w14:paraId="345BE1F7" w14:textId="77777777">
            <w:pPr>
              <w:pStyle w:val="Prrafodelista"/>
              <w:keepNext/>
              <w:keepLines/>
              <w:ind w:left="457"/>
              <w:rPr>
                <w:rFonts w:ascii="Cambria" w:hAnsi="Cambria" w:cstheme="minorHAnsi"/>
              </w:rPr>
            </w:pPr>
            <w:r w:rsidRPr="009A7BAA">
              <w:rPr>
                <w:rFonts w:ascii="Cambria" w:hAnsi="Cambria" w:cstheme="minorHAnsi"/>
              </w:rPr>
              <w:t xml:space="preserve">     Se adiciona la validación 65. Back to back</w:t>
            </w:r>
          </w:p>
          <w:p w:rsidRPr="009A7BAA" w:rsidR="001A7DC5" w:rsidP="00C76717" w:rsidRDefault="001A7DC5" w14:paraId="43F8A1EA" w14:textId="77777777">
            <w:pPr>
              <w:pStyle w:val="Prrafodelista"/>
              <w:keepNext/>
              <w:keepLines/>
              <w:ind w:left="457"/>
              <w:rPr>
                <w:rFonts w:ascii="Cambria" w:hAnsi="Cambria" w:cstheme="minorHAnsi"/>
                <w:color w:val="00B050"/>
              </w:rPr>
            </w:pPr>
            <w:r w:rsidRPr="009A7BAA">
              <w:rPr>
                <w:rFonts w:ascii="Cambria" w:hAnsi="Cambria" w:cstheme="minorHAnsi"/>
                <w:color w:val="00B050"/>
              </w:rPr>
              <w:t xml:space="preserve">     Se adicionan las validaciones 66, 67, 68, 69 y 70. </w:t>
            </w:r>
            <w:r w:rsidRPr="009A7BAA">
              <w:rPr>
                <w:rFonts w:ascii="Cambria" w:hAnsi="Cambria" w:cstheme="minorHAnsi"/>
                <w:color w:val="92D050"/>
              </w:rPr>
              <w:t>Comunicado SGF 2200-2022</w:t>
            </w:r>
          </w:p>
          <w:p w:rsidRPr="009A7BAA" w:rsidR="001A7DC5" w:rsidP="00C76717" w:rsidRDefault="001A7DC5" w14:paraId="3468580A" w14:textId="77777777">
            <w:pPr>
              <w:pStyle w:val="Prrafodelista"/>
              <w:keepNext/>
              <w:keepLines/>
              <w:ind w:left="457"/>
              <w:rPr>
                <w:rFonts w:ascii="Cambria" w:hAnsi="Cambria" w:cstheme="minorHAnsi"/>
                <w:strike/>
              </w:rPr>
            </w:pPr>
            <w:r w:rsidRPr="009A7BAA">
              <w:rPr>
                <w:rFonts w:ascii="Cambria" w:hAnsi="Cambria" w:cstheme="minorHAnsi"/>
                <w:color w:val="00B050"/>
              </w:rPr>
              <w:t xml:space="preserve">     Se adicionan las validaciones de la 71 a 74. </w:t>
            </w:r>
            <w:r w:rsidRPr="009A7BAA">
              <w:rPr>
                <w:rFonts w:ascii="Cambria" w:hAnsi="Cambria" w:cstheme="minorHAnsi"/>
                <w:color w:val="92D050"/>
              </w:rPr>
              <w:t>Comunicado SGF 2200-2022</w:t>
            </w:r>
          </w:p>
          <w:p w:rsidRPr="009A7BAA" w:rsidR="001A7DC5" w:rsidP="00C76717" w:rsidRDefault="001A7DC5" w14:paraId="22063CCB" w14:textId="77777777">
            <w:pPr>
              <w:pStyle w:val="Prrafodelista"/>
              <w:keepNext/>
              <w:keepLines/>
              <w:ind w:left="457"/>
              <w:rPr>
                <w:rFonts w:ascii="Cambria" w:hAnsi="Cambria" w:cstheme="minorHAnsi"/>
              </w:rPr>
            </w:pPr>
          </w:p>
          <w:p w:rsidRPr="009A7BAA" w:rsidR="001A7DC5" w:rsidP="00C76717" w:rsidRDefault="001A7DC5" w14:paraId="64570452" w14:textId="77777777">
            <w:pPr>
              <w:pStyle w:val="Texto"/>
              <w:keepNext/>
              <w:keepLines/>
              <w:shd w:val="clear" w:color="auto" w:fill="EFF5FB"/>
              <w:spacing w:before="0" w:after="0" w:line="240" w:lineRule="auto"/>
              <w:rPr>
                <w:rFonts w:cstheme="minorHAnsi"/>
                <w:b/>
                <w:bCs/>
                <w:color w:val="273248"/>
                <w:sz w:val="24"/>
              </w:rPr>
            </w:pPr>
            <w:r w:rsidRPr="009A7BAA">
              <w:rPr>
                <w:rFonts w:cstheme="minorHAnsi"/>
                <w:b/>
                <w:bCs/>
                <w:color w:val="273248"/>
                <w:sz w:val="24"/>
              </w:rPr>
              <w:t>Cambios en Clase Datos Crediticio, archivos Cuotas Atrasadas.</w:t>
            </w:r>
          </w:p>
          <w:p w:rsidRPr="009A7BAA" w:rsidR="001A7DC5" w:rsidP="00C76717" w:rsidRDefault="001A7DC5" w14:paraId="794DB00D" w14:textId="77777777">
            <w:pPr>
              <w:pStyle w:val="VN1"/>
              <w:keepNext/>
              <w:keepLines/>
              <w:rPr>
                <w:rFonts w:cstheme="minorHAnsi"/>
                <w:sz w:val="24"/>
                <w:szCs w:val="24"/>
              </w:rPr>
            </w:pPr>
            <w:r w:rsidRPr="009A7BAA">
              <w:rPr>
                <w:rFonts w:cstheme="minorHAnsi"/>
                <w:sz w:val="24"/>
                <w:szCs w:val="24"/>
              </w:rPr>
              <w:t>Validaciones Para L</w:t>
            </w:r>
            <w:r w:rsidRPr="009A7BAA">
              <w:rPr>
                <w:rFonts w:cstheme="minorHAnsi"/>
                <w:iCs/>
                <w:sz w:val="24"/>
                <w:szCs w:val="24"/>
                <w:lang w:eastAsia="es-ES"/>
              </w:rPr>
              <w:t>a</w:t>
            </w:r>
            <w:r w:rsidRPr="009A7BAA">
              <w:rPr>
                <w:rFonts w:cstheme="minorHAnsi"/>
                <w:sz w:val="24"/>
                <w:szCs w:val="24"/>
              </w:rPr>
              <w:t xml:space="preserve"> Información De Cuotas Atrasadas</w:t>
            </w:r>
          </w:p>
          <w:p w:rsidRPr="009A7BAA" w:rsidR="001A7DC5" w:rsidP="00C76717" w:rsidRDefault="001A7DC5" w14:paraId="3467E300" w14:textId="77777777">
            <w:pPr>
              <w:pStyle w:val="VN1"/>
              <w:keepNext/>
              <w:keepLines/>
              <w:rPr>
                <w:rFonts w:cstheme="minorHAnsi"/>
                <w:color w:val="00B050"/>
                <w:sz w:val="24"/>
                <w:szCs w:val="24"/>
              </w:rPr>
            </w:pPr>
            <w:r w:rsidRPr="009A7BAA">
              <w:rPr>
                <w:rFonts w:cstheme="minorHAnsi"/>
                <w:color w:val="00B050"/>
                <w:sz w:val="24"/>
                <w:szCs w:val="24"/>
              </w:rPr>
              <w:t xml:space="preserve"> Se adicionan las validaciones 15 y 16. Validaciones alertas</w:t>
            </w:r>
            <w:r w:rsidRPr="009A7BAA">
              <w:rPr>
                <w:rFonts w:cstheme="minorHAnsi"/>
                <w:color w:val="92D050"/>
                <w:sz w:val="24"/>
                <w:szCs w:val="24"/>
              </w:rPr>
              <w:t xml:space="preserve"> Comunicado SGF 2200-2022</w:t>
            </w:r>
          </w:p>
          <w:p w:rsidRPr="009A7BAA" w:rsidR="001A7DC5" w:rsidP="00C76717" w:rsidRDefault="001A7DC5" w14:paraId="107C4FA5" w14:textId="77777777">
            <w:pPr>
              <w:pStyle w:val="VN1"/>
              <w:keepNext/>
              <w:keepLines/>
              <w:rPr>
                <w:rFonts w:cstheme="minorHAnsi"/>
                <w:color w:val="00B050"/>
                <w:sz w:val="24"/>
                <w:szCs w:val="24"/>
              </w:rPr>
            </w:pPr>
          </w:p>
          <w:p w:rsidRPr="009A7BAA" w:rsidR="001A7DC5" w:rsidP="00C76717" w:rsidRDefault="001A7DC5" w14:paraId="0C081BDA" w14:textId="77777777">
            <w:pPr>
              <w:pStyle w:val="Texto"/>
              <w:keepNext/>
              <w:keepLines/>
              <w:shd w:val="clear" w:color="auto" w:fill="EFF5FB"/>
              <w:spacing w:before="0" w:after="0" w:line="240" w:lineRule="auto"/>
              <w:rPr>
                <w:rFonts w:cstheme="minorHAnsi"/>
                <w:b/>
                <w:bCs/>
                <w:color w:val="273248"/>
                <w:sz w:val="24"/>
              </w:rPr>
            </w:pPr>
            <w:r w:rsidRPr="009A7BAA">
              <w:rPr>
                <w:rFonts w:cstheme="minorHAnsi"/>
                <w:b/>
                <w:bCs/>
                <w:color w:val="273248"/>
                <w:sz w:val="24"/>
              </w:rPr>
              <w:t>Cambios en Clase dato Cambio climático.</w:t>
            </w:r>
          </w:p>
          <w:p w:rsidRPr="009A7BAA" w:rsidR="001A7DC5" w:rsidP="00C76717" w:rsidRDefault="001A7DC5" w14:paraId="2E21226F" w14:textId="77777777">
            <w:pPr>
              <w:pStyle w:val="VN1"/>
              <w:keepNext/>
              <w:keepLines/>
              <w:rPr>
                <w:rFonts w:cstheme="minorHAnsi"/>
                <w:sz w:val="24"/>
                <w:szCs w:val="24"/>
              </w:rPr>
            </w:pPr>
            <w:r w:rsidRPr="009A7BAA">
              <w:rPr>
                <w:rFonts w:cstheme="minorHAnsi"/>
                <w:sz w:val="24"/>
                <w:szCs w:val="24"/>
              </w:rPr>
              <w:t>Se modifica en el apartado de descripción, columna “Formato Texto” lo indicado para el campo “</w:t>
            </w:r>
            <w:r w:rsidRPr="009A7BAA">
              <w:rPr>
                <w:rFonts w:cstheme="minorHAnsi"/>
                <w:b/>
                <w:bCs/>
                <w:sz w:val="24"/>
                <w:szCs w:val="24"/>
              </w:rPr>
              <w:t>SaldoMontoClimatico</w:t>
            </w:r>
            <w:r w:rsidRPr="009A7BAA">
              <w:rPr>
                <w:rFonts w:cstheme="minorHAnsi"/>
                <w:sz w:val="24"/>
                <w:szCs w:val="24"/>
              </w:rPr>
              <w:t xml:space="preserve">”, debe ser “1 a 20 enteros 2 decimales. (Centro de Servicio 40835 del 29 julio 2022) </w:t>
            </w:r>
            <w:r w:rsidRPr="009A7BAA">
              <w:rPr>
                <w:rFonts w:cstheme="minorHAnsi"/>
                <w:color w:val="92D050"/>
                <w:sz w:val="24"/>
                <w:szCs w:val="24"/>
              </w:rPr>
              <w:t>Comunicado SGF 2200-2022</w:t>
            </w:r>
          </w:p>
        </w:tc>
      </w:tr>
    </w:tbl>
    <w:p w:rsidRPr="009A7BAA" w:rsidR="001A7DC5" w:rsidP="00C76717" w:rsidRDefault="001A7DC5" w14:paraId="5EAB5952" w14:textId="77777777">
      <w:pPr>
        <w:spacing w:line="240" w:lineRule="auto"/>
        <w:rPr>
          <w:sz w:val="24"/>
        </w:rPr>
      </w:pPr>
    </w:p>
    <w:p w:rsidRPr="009A7BAA" w:rsidR="001A7DC5" w:rsidP="00C76717" w:rsidRDefault="001A7DC5" w14:paraId="6E8E818B" w14:textId="77777777">
      <w:pPr>
        <w:pStyle w:val="Prrafodelista"/>
        <w:numPr>
          <w:ilvl w:val="0"/>
          <w:numId w:val="11"/>
        </w:numPr>
        <w:ind w:left="426" w:hanging="426"/>
        <w:rPr>
          <w:rFonts w:ascii="Cambria" w:hAnsi="Cambria"/>
          <w:b/>
          <w:bCs/>
        </w:rPr>
      </w:pPr>
      <w:r w:rsidRPr="009A7BAA">
        <w:rPr>
          <w:rFonts w:ascii="Cambria" w:hAnsi="Cambria"/>
          <w:b/>
          <w:bCs/>
        </w:rPr>
        <w:t>Disposiciones sobre publicación</w:t>
      </w:r>
    </w:p>
    <w:p w:rsidRPr="009A7BAA" w:rsidR="001A7DC5" w:rsidP="00C76717" w:rsidRDefault="001A7DC5" w14:paraId="6C0C9AC5" w14:textId="77777777">
      <w:pPr>
        <w:pStyle w:val="Prrafodelista"/>
        <w:ind w:left="720"/>
        <w:rPr>
          <w:rFonts w:ascii="Cambria" w:hAnsi="Cambria"/>
        </w:rPr>
      </w:pPr>
    </w:p>
    <w:p w:rsidRPr="009A7BAA" w:rsidR="001A7DC5" w:rsidP="00C76717" w:rsidRDefault="001A7DC5" w14:paraId="3A9A5959" w14:textId="77777777">
      <w:pPr>
        <w:pStyle w:val="Prrafodelista"/>
        <w:numPr>
          <w:ilvl w:val="0"/>
          <w:numId w:val="8"/>
        </w:numPr>
        <w:ind w:left="851" w:hanging="425"/>
        <w:jc w:val="both"/>
        <w:rPr>
          <w:rFonts w:ascii="Cambria" w:hAnsi="Cambria"/>
        </w:rPr>
      </w:pPr>
      <w:r w:rsidRPr="009A7BAA">
        <w:rPr>
          <w:rFonts w:ascii="Cambria" w:hAnsi="Cambria"/>
        </w:rPr>
        <w:t>Se publicará en el sitio WEB de esta Superintendencia el documento</w:t>
      </w:r>
      <w:r w:rsidRPr="009A7BAA">
        <w:rPr>
          <w:rFonts w:ascii="Cambria" w:hAnsi="Cambria" w:eastAsia="Calibri" w:cs="Arial"/>
          <w:color w:val="000000"/>
          <w:lang w:val="es-CR" w:eastAsia="es-CR"/>
        </w:rPr>
        <w:t xml:space="preserve"> “</w:t>
      </w:r>
      <w:r w:rsidRPr="009A7BAA">
        <w:rPr>
          <w:rFonts w:ascii="Cambria" w:hAnsi="Cambria" w:eastAsia="Calibri" w:cs="Arial"/>
          <w:i/>
          <w:iCs/>
          <w:color w:val="000000"/>
          <w:lang w:val="es-CR" w:eastAsia="es-CR"/>
        </w:rPr>
        <w:t>Sistema de Captura, Verificación y Carga de Datos, Documentación de Datos de Envío, Clase Datos de Operaciones Crediticias</w:t>
      </w:r>
      <w:r w:rsidRPr="009A7BAA">
        <w:rPr>
          <w:rFonts w:ascii="Cambria" w:hAnsi="Cambria" w:eastAsia="Calibri" w:cs="Arial"/>
          <w:color w:val="000000"/>
          <w:lang w:val="es-CR" w:eastAsia="es-CR"/>
        </w:rPr>
        <w:t>”, el cual integra los cambios, tanto descritos en este comunicado como los de la circular externa SGF 2200-2022 aludida.</w:t>
      </w:r>
    </w:p>
    <w:p w:rsidRPr="009A7BAA" w:rsidR="001A7DC5" w:rsidP="00C76717" w:rsidRDefault="001A7DC5" w14:paraId="4E6286D2" w14:textId="77777777">
      <w:pPr>
        <w:pStyle w:val="Prrafodelista"/>
        <w:ind w:left="851" w:hanging="425"/>
        <w:jc w:val="both"/>
        <w:rPr>
          <w:rFonts w:ascii="Cambria" w:hAnsi="Cambria"/>
        </w:rPr>
      </w:pPr>
    </w:p>
    <w:p w:rsidRPr="009A7BAA" w:rsidR="001A7DC5" w:rsidP="00C76717" w:rsidRDefault="001A7DC5" w14:paraId="34DAF7D0" w14:textId="77777777">
      <w:pPr>
        <w:pStyle w:val="Prrafodelista"/>
        <w:numPr>
          <w:ilvl w:val="0"/>
          <w:numId w:val="8"/>
        </w:numPr>
        <w:ind w:left="851" w:hanging="425"/>
        <w:jc w:val="both"/>
        <w:rPr>
          <w:rFonts w:ascii="Cambria" w:hAnsi="Cambria"/>
        </w:rPr>
      </w:pPr>
      <w:r w:rsidRPr="009A7BAA">
        <w:rPr>
          <w:rFonts w:ascii="Cambria" w:hAnsi="Cambria"/>
        </w:rPr>
        <w:t>Se publicará en el sitio WEB de esta Superintendencia el documento</w:t>
      </w:r>
      <w:r w:rsidRPr="009A7BAA">
        <w:rPr>
          <w:rFonts w:ascii="Cambria" w:hAnsi="Cambria" w:eastAsia="Calibri" w:cs="Arial"/>
          <w:color w:val="000000"/>
          <w:lang w:val="es-CR" w:eastAsia="es-CR"/>
        </w:rPr>
        <w:t xml:space="preserve"> </w:t>
      </w:r>
      <w:r w:rsidRPr="009A7BAA">
        <w:rPr>
          <w:rFonts w:ascii="Cambria" w:hAnsi="Cambria" w:eastAsia="Calibri" w:cs="Arial"/>
          <w:i/>
          <w:iCs/>
          <w:color w:val="000000"/>
          <w:lang w:val="es-CR" w:eastAsia="es-CR"/>
        </w:rPr>
        <w:t>Tablas Utilizadas en la Documentación de envío</w:t>
      </w:r>
      <w:r w:rsidRPr="009A7BAA">
        <w:rPr>
          <w:rFonts w:ascii="Cambria" w:hAnsi="Cambria" w:eastAsia="Calibri" w:cs="Arial"/>
          <w:color w:val="000000"/>
          <w:lang w:val="es-CR" w:eastAsia="es-CR"/>
        </w:rPr>
        <w:t xml:space="preserve"> (segunda parte), el cual integra los cambios, tanto descritos en este comunicado como los de la circular externa SGF 2200-2022 supracitada. </w:t>
      </w:r>
    </w:p>
    <w:p w:rsidRPr="009A7BAA" w:rsidR="001A7DC5" w:rsidP="00C76717" w:rsidRDefault="001A7DC5" w14:paraId="4F61B204" w14:textId="77777777">
      <w:pPr>
        <w:pStyle w:val="Prrafodelista"/>
        <w:ind w:left="851" w:hanging="425"/>
        <w:rPr>
          <w:rFonts w:ascii="Cambria" w:hAnsi="Cambria"/>
        </w:rPr>
      </w:pPr>
    </w:p>
    <w:p w:rsidRPr="009A7BAA" w:rsidR="001A7DC5" w:rsidP="00C76717" w:rsidRDefault="001A7DC5" w14:paraId="71F719EB" w14:textId="77777777">
      <w:pPr>
        <w:pStyle w:val="Prrafodelista"/>
        <w:numPr>
          <w:ilvl w:val="0"/>
          <w:numId w:val="8"/>
        </w:numPr>
        <w:ind w:left="851" w:hanging="425"/>
        <w:jc w:val="both"/>
        <w:rPr>
          <w:rFonts w:ascii="Cambria" w:hAnsi="Cambria"/>
        </w:rPr>
      </w:pPr>
      <w:r w:rsidRPr="009A7BAA">
        <w:rPr>
          <w:rFonts w:ascii="Cambria" w:hAnsi="Cambria"/>
        </w:rPr>
        <w:t xml:space="preserve">Se publicarán, en el sitio WEB de esta Superintendencia, los archivos XML y XSD relacionados a la clase de datos crediticia que contiene el archivo XSD de Cambio Climático, al cual se le modificó la estructura de uno de sus campos, tal como fue comunicado en la </w:t>
      </w:r>
      <w:r w:rsidRPr="009A7BAA">
        <w:rPr>
          <w:rFonts w:ascii="Cambria" w:hAnsi="Cambria" w:eastAsia="Calibri" w:cs="Arial"/>
          <w:color w:val="000000"/>
          <w:lang w:val="es-CR" w:eastAsia="es-CR"/>
        </w:rPr>
        <w:t>circular externa 2200_2022 mencionada.</w:t>
      </w:r>
    </w:p>
    <w:p w:rsidRPr="009A7BAA" w:rsidR="001A7DC5" w:rsidP="00C76717" w:rsidRDefault="001A7DC5" w14:paraId="2FAA3DBD" w14:textId="77777777">
      <w:pPr>
        <w:spacing w:line="240" w:lineRule="auto"/>
        <w:rPr>
          <w:sz w:val="24"/>
        </w:rPr>
      </w:pPr>
    </w:p>
    <w:p w:rsidRPr="009A7BAA" w:rsidR="001A7DC5" w:rsidP="00C76717" w:rsidRDefault="001A7DC5" w14:paraId="310F4EC2" w14:textId="77777777">
      <w:pPr>
        <w:spacing w:line="240" w:lineRule="auto"/>
        <w:rPr>
          <w:sz w:val="24"/>
        </w:rPr>
      </w:pPr>
      <w:r w:rsidRPr="009A7BAA">
        <w:rPr>
          <w:sz w:val="24"/>
        </w:rPr>
        <w:t>Se reitera que los cambios indicados en esta circular entrarán en vigor para la carga de la información con corte a enero de 2023 (la cual deberá remitirse, a más tardar, el décimo día hábil de febrero de 2023).</w:t>
      </w:r>
    </w:p>
    <w:p w:rsidRPr="009A7BAA" w:rsidR="001A7DC5" w:rsidP="00C76717" w:rsidRDefault="001A7DC5" w14:paraId="334D2CD0" w14:textId="77777777">
      <w:pPr>
        <w:pStyle w:val="Texto"/>
        <w:spacing w:before="0" w:after="0" w:line="240" w:lineRule="auto"/>
        <w:rPr>
          <w:sz w:val="24"/>
        </w:rPr>
      </w:pPr>
    </w:p>
    <w:p w:rsidRPr="009A7BAA" w:rsidR="00181ABF" w:rsidP="00C76717" w:rsidRDefault="001A7DC5" w14:paraId="192A8957" w14:textId="2807F977">
      <w:pPr>
        <w:pStyle w:val="Texto"/>
        <w:spacing w:before="0" w:after="0" w:line="240" w:lineRule="auto"/>
        <w:rPr>
          <w:sz w:val="24"/>
        </w:rPr>
      </w:pPr>
      <w:r w:rsidRPr="009A7BAA">
        <w:rPr>
          <w:noProof/>
          <w:sz w:val="24"/>
          <w:lang w:val="es-CR" w:eastAsia="es-CR"/>
        </w:rPr>
        <w:drawing>
          <wp:anchor distT="0" distB="0" distL="114300" distR="114300" simplePos="0" relativeHeight="251659264" behindDoc="1" locked="0" layoutInCell="1" allowOverlap="1" wp14:editId="5C309AA6" wp14:anchorId="5D6EB4D4">
            <wp:simplePos x="0" y="0"/>
            <wp:positionH relativeFrom="column">
              <wp:posOffset>-163830</wp:posOffset>
            </wp:positionH>
            <wp:positionV relativeFrom="paragraph">
              <wp:posOffset>144236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9A7BAA" w:rsidR="00181ABF">
        <w:rPr>
          <w:sz w:val="24"/>
        </w:rPr>
        <w:t>Atentamente,</w:t>
      </w:r>
    </w:p>
    <w:p w:rsidRPr="009A7BAA" w:rsidR="00181ABF" w:rsidP="00C76717" w:rsidRDefault="00181ABF" w14:paraId="0FE38BD3" w14:textId="77777777">
      <w:pPr>
        <w:spacing w:line="240" w:lineRule="auto"/>
        <w:rPr>
          <w:sz w:val="24"/>
        </w:rPr>
      </w:pPr>
    </w:p>
    <w:p w:rsidRPr="009A7BAA" w:rsidR="00181ABF" w:rsidP="00C76717" w:rsidRDefault="00181ABF" w14:paraId="2777E07D" w14:textId="49B01E6E">
      <w:pPr>
        <w:spacing w:line="240" w:lineRule="auto"/>
        <w:rPr>
          <w:sz w:val="24"/>
        </w:rPr>
      </w:pPr>
    </w:p>
    <w:p w:rsidRPr="009A7BAA" w:rsidR="001A7DC5" w:rsidP="00C76717" w:rsidRDefault="00181ABF" w14:paraId="730DD6D2" w14:textId="77777777">
      <w:pPr>
        <w:spacing w:line="240" w:lineRule="auto"/>
        <w:jc w:val="left"/>
        <w:rPr>
          <w:b/>
          <w:bCs/>
          <w:sz w:val="24"/>
        </w:rPr>
      </w:pPr>
      <w:bookmarkStart w:name="_Hlk53758837" w:id="0"/>
      <w:r w:rsidRPr="009A7BAA">
        <w:rPr>
          <w:sz w:val="24"/>
        </w:rPr>
        <w:t>Rocío Aguilar Montoya</w:t>
      </w:r>
      <w:r w:rsidRPr="009A7BAA">
        <w:rPr>
          <w:sz w:val="24"/>
        </w:rPr>
        <w:br/>
      </w:r>
      <w:r w:rsidRPr="009A7BAA">
        <w:rPr>
          <w:b/>
          <w:bCs/>
          <w:sz w:val="24"/>
        </w:rPr>
        <w:t>Superintendente General</w:t>
      </w:r>
      <w:bookmarkEnd w:id="0"/>
    </w:p>
    <w:p w:rsidRPr="009A7BAA" w:rsidR="00181ABF" w:rsidP="00C76717" w:rsidRDefault="00181ABF" w14:paraId="079ECE50" w14:textId="77777777">
      <w:pPr>
        <w:pStyle w:val="Negrita"/>
        <w:spacing w:line="240" w:lineRule="auto"/>
        <w:rPr>
          <w:sz w:val="24"/>
        </w:rPr>
      </w:pPr>
    </w:p>
    <w:p w:rsidRPr="009A7BAA" w:rsidR="001A7DC5" w:rsidP="00C76717" w:rsidRDefault="001A7DC5" w14:paraId="3DE0EA83" w14:textId="77777777">
      <w:pPr>
        <w:pStyle w:val="Negrita"/>
        <w:spacing w:line="240" w:lineRule="auto"/>
        <w:rPr>
          <w:bCs/>
          <w:sz w:val="24"/>
          <w:lang w:val="es-CR"/>
        </w:rPr>
      </w:pPr>
      <w:r w:rsidRPr="009A7BAA">
        <w:rPr>
          <w:bCs/>
          <w:sz w:val="24"/>
          <w:lang w:val="es-CR"/>
        </w:rPr>
        <w:t>JSC/EAMS/PSD/gvl*</w:t>
      </w:r>
    </w:p>
    <w:p w:rsidRPr="009A7BAA" w:rsidR="001A7DC5" w:rsidP="00C76717" w:rsidRDefault="001A7DC5" w14:paraId="789178C8" w14:textId="77777777">
      <w:pPr>
        <w:pStyle w:val="Negrita"/>
        <w:spacing w:line="240" w:lineRule="auto"/>
        <w:rPr>
          <w:sz w:val="24"/>
          <w:lang w:val="es-CR"/>
        </w:rPr>
      </w:pPr>
    </w:p>
    <w:p w:rsidRPr="009A7BAA" w:rsidR="001A7DC5" w:rsidP="00C76717" w:rsidRDefault="001A7DC5" w14:paraId="7FD37EA6" w14:textId="7ABD1F8C">
      <w:pPr>
        <w:spacing w:line="240" w:lineRule="auto"/>
        <w:rPr>
          <w:sz w:val="24"/>
        </w:rPr>
      </w:pPr>
      <w:r w:rsidRPr="009A7BAA">
        <w:rPr>
          <w:sz w:val="24"/>
          <w:lang w:val="es-CR"/>
        </w:rPr>
        <w:t>.</w:t>
      </w:r>
      <w:r w:rsidRPr="009A7BAA">
        <w:rPr>
          <w:sz w:val="24"/>
          <w:lang w:val="es-CR"/>
        </w:rPr>
        <w:tab/>
      </w:r>
      <w:r w:rsidRPr="009A7BAA">
        <w:rPr>
          <w:sz w:val="24"/>
        </w:rPr>
        <w:t>Miguel A. Aguiar Bermúdez, Director Ejecutivo Secretaría Técnica SBD</w:t>
      </w:r>
    </w:p>
    <w:p w:rsidRPr="009A7BAA" w:rsidR="001A7DC5" w:rsidP="00C76717" w:rsidRDefault="001A7DC5" w14:paraId="6FAE9904" w14:textId="77777777">
      <w:pPr>
        <w:spacing w:line="240" w:lineRule="auto"/>
        <w:ind w:firstLine="708"/>
        <w:rPr>
          <w:rStyle w:val="Hipervnculo"/>
          <w:bCs/>
          <w:sz w:val="24"/>
        </w:rPr>
      </w:pPr>
      <w:r w:rsidRPr="009A7BAA">
        <w:rPr>
          <w:b/>
          <w:bCs/>
          <w:sz w:val="24"/>
        </w:rPr>
        <w:t>Correos electrónicos</w:t>
      </w:r>
      <w:r w:rsidRPr="009A7BAA">
        <w:rPr>
          <w:sz w:val="24"/>
        </w:rPr>
        <w:t>:</w:t>
      </w:r>
      <w:r w:rsidRPr="009A7BAA">
        <w:rPr>
          <w:sz w:val="24"/>
        </w:rPr>
        <w:tab/>
      </w:r>
      <w:hyperlink w:history="1" r:id="rId13">
        <w:r w:rsidRPr="009A7BAA">
          <w:rPr>
            <w:rStyle w:val="Hipervnculo"/>
            <w:bCs/>
            <w:sz w:val="24"/>
          </w:rPr>
          <w:t>miguel.aguiar@sbdcr.com</w:t>
        </w:r>
      </w:hyperlink>
      <w:r w:rsidRPr="009A7BAA">
        <w:rPr>
          <w:rStyle w:val="Hipervnculo"/>
          <w:bCs/>
          <w:sz w:val="24"/>
        </w:rPr>
        <w:t xml:space="preserve"> </w:t>
      </w:r>
    </w:p>
    <w:p w:rsidRPr="009A7BAA" w:rsidR="001A7DC5" w:rsidP="009A7BAA" w:rsidRDefault="009A7BAA" w14:paraId="18313241" w14:textId="7672567F">
      <w:pPr>
        <w:spacing w:line="240" w:lineRule="auto"/>
        <w:ind w:left="2832" w:firstLine="708"/>
        <w:rPr>
          <w:rStyle w:val="Hipervnculo"/>
          <w:bCs/>
          <w:sz w:val="24"/>
        </w:rPr>
      </w:pPr>
      <w:hyperlink w:history="1" r:id="rId14">
        <w:r w:rsidRPr="003869DB">
          <w:rPr>
            <w:rStyle w:val="Hipervnculo"/>
            <w:bCs/>
            <w:sz w:val="24"/>
          </w:rPr>
          <w:t>info@sbdcr.com</w:t>
        </w:r>
      </w:hyperlink>
    </w:p>
    <w:p w:rsidRPr="009A7BAA" w:rsidR="001A7DC5" w:rsidP="009A7BAA" w:rsidRDefault="009A7BAA" w14:paraId="3261AE92" w14:textId="740C7CB6">
      <w:pPr>
        <w:spacing w:line="240" w:lineRule="auto"/>
        <w:ind w:left="2832" w:firstLine="708"/>
        <w:rPr>
          <w:sz w:val="24"/>
        </w:rPr>
      </w:pPr>
      <w:hyperlink w:history="1" r:id="rId15">
        <w:r w:rsidRPr="003869DB">
          <w:rPr>
            <w:rStyle w:val="Hipervnculo"/>
            <w:bCs/>
            <w:sz w:val="24"/>
          </w:rPr>
          <w:t>liliana.chacon@sbdcr.com</w:t>
        </w:r>
      </w:hyperlink>
    </w:p>
    <w:p w:rsidRPr="009A7BAA" w:rsidR="001A7DC5" w:rsidP="009A7BAA" w:rsidRDefault="009A7BAA" w14:paraId="6872F167" w14:textId="53EA2DEA">
      <w:pPr>
        <w:pStyle w:val="Default"/>
        <w:ind w:left="2832" w:firstLine="708"/>
        <w:jc w:val="both"/>
        <w:rPr>
          <w:rFonts w:ascii="Cambria" w:hAnsi="Cambria"/>
          <w:bCs/>
        </w:rPr>
      </w:pPr>
      <w:hyperlink w:history="1" r:id="rId16">
        <w:r w:rsidRPr="003869DB">
          <w:rPr>
            <w:rStyle w:val="Hipervnculo"/>
            <w:rFonts w:ascii="Cambria" w:hAnsi="Cambria"/>
            <w:bCs/>
          </w:rPr>
          <w:t>marlene.villanueva@sbdcr.com</w:t>
        </w:r>
      </w:hyperlink>
    </w:p>
    <w:p w:rsidRPr="009A7BAA" w:rsidR="001A7DC5" w:rsidP="009A7BAA" w:rsidRDefault="009A7BAA" w14:paraId="1CA3D882" w14:textId="2810F2B0">
      <w:pPr>
        <w:pStyle w:val="Default"/>
        <w:ind w:left="2832" w:firstLine="708"/>
        <w:jc w:val="both"/>
        <w:rPr>
          <w:rFonts w:ascii="Cambria" w:hAnsi="Cambria"/>
          <w:bCs/>
        </w:rPr>
      </w:pPr>
      <w:hyperlink w:history="1" r:id="rId17">
        <w:r w:rsidRPr="003869DB">
          <w:rPr>
            <w:rStyle w:val="Hipervnculo"/>
            <w:rFonts w:ascii="Cambria" w:hAnsi="Cambria"/>
            <w:bCs/>
          </w:rPr>
          <w:t>alexander.araya@sbdcr.com</w:t>
        </w:r>
      </w:hyperlink>
    </w:p>
    <w:sectPr w:rsidRPr="009A7BAA" w:rsidR="001A7DC5">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C8BA" w14:textId="77777777" w:rsidR="00C14BAD" w:rsidRDefault="00C14BAD" w:rsidP="00181ABF">
      <w:pPr>
        <w:spacing w:line="240" w:lineRule="auto"/>
      </w:pPr>
      <w:r>
        <w:separator/>
      </w:r>
    </w:p>
  </w:endnote>
  <w:endnote w:type="continuationSeparator" w:id="0">
    <w:p w14:paraId="4FA5D549" w14:textId="77777777" w:rsidR="00C14BAD" w:rsidRDefault="00C14BA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AA" w:rsidRDefault="009A7BAA" w14:paraId="192F4A0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49FDF5DB" w14:textId="77777777">
      <w:tc>
        <w:tcPr>
          <w:tcW w:w="2942" w:type="dxa"/>
        </w:tcPr>
        <w:p w:rsidR="00181ABF" w:rsidP="00181ABF" w:rsidRDefault="00181ABF" w14:paraId="1A95506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6D3B35B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1387CE2D" w14:textId="77777777">
          <w:pPr>
            <w:pStyle w:val="Piedepgina"/>
            <w:rPr>
              <w:b/>
              <w:color w:val="7F7F7F" w:themeColor="text1" w:themeTint="80"/>
              <w:sz w:val="16"/>
              <w:szCs w:val="16"/>
            </w:rPr>
          </w:pPr>
        </w:p>
      </w:tc>
      <w:tc>
        <w:tcPr>
          <w:tcW w:w="2943" w:type="dxa"/>
        </w:tcPr>
        <w:p w:rsidRPr="009349F3" w:rsidR="00181ABF" w:rsidP="00181ABF" w:rsidRDefault="00181ABF" w14:paraId="5BFD4606"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1E743E6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6C8BCB2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ECDA61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AA" w:rsidRDefault="009A7BAA" w14:paraId="33AA3D7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B777" w14:textId="77777777" w:rsidR="00C14BAD" w:rsidRDefault="00C14BAD" w:rsidP="00181ABF">
      <w:pPr>
        <w:spacing w:line="240" w:lineRule="auto"/>
      </w:pPr>
      <w:r>
        <w:separator/>
      </w:r>
    </w:p>
  </w:footnote>
  <w:footnote w:type="continuationSeparator" w:id="0">
    <w:p w14:paraId="01869CE8" w14:textId="77777777" w:rsidR="00C14BAD" w:rsidRDefault="00C14BAD"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AA" w:rsidRDefault="009A7BAA" w14:paraId="21D2F48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16459738" w14:textId="77777777">
    <w:pPr>
      <w:pStyle w:val="Encabezado"/>
    </w:pPr>
  </w:p>
  <w:p w:rsidR="00181ABF" w:rsidP="00181ABF" w:rsidRDefault="00181ABF" w14:paraId="06C709D4" w14:textId="77777777">
    <w:pPr>
      <w:pStyle w:val="Encabezado"/>
      <w:jc w:val="center"/>
    </w:pPr>
    <w:r>
      <w:rPr>
        <w:noProof/>
        <w:lang w:val="es-CR" w:eastAsia="es-CR"/>
      </w:rPr>
      <w:drawing>
        <wp:inline distT="0" distB="0" distL="0" distR="0" wp14:anchorId="10DE0E3C" wp14:editId="31D4D98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AA" w:rsidRDefault="009A7BAA" w14:paraId="38504CA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E1C"/>
    <w:multiLevelType w:val="hybridMultilevel"/>
    <w:tmpl w:val="1548EA0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E743390"/>
    <w:multiLevelType w:val="hybridMultilevel"/>
    <w:tmpl w:val="329601F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03812B3"/>
    <w:multiLevelType w:val="hybridMultilevel"/>
    <w:tmpl w:val="AB1E1630"/>
    <w:lvl w:ilvl="0" w:tplc="F9861AAE">
      <w:start w:val="1"/>
      <w:numFmt w:val="bullet"/>
      <w:lvlText w:val=""/>
      <w:lvlJc w:val="left"/>
      <w:pPr>
        <w:ind w:left="720" w:hanging="360"/>
      </w:pPr>
      <w:rPr>
        <w:rFonts w:ascii="Symbol" w:hAnsi="Symbol" w:hint="default"/>
        <w:b/>
        <w:i w:val="0"/>
        <w:color w:val="197278"/>
      </w:rPr>
    </w:lvl>
    <w:lvl w:ilvl="1" w:tplc="A42CD10C">
      <w:start w:val="1"/>
      <w:numFmt w:val="bullet"/>
      <w:lvlText w:val=""/>
      <w:lvlJc w:val="left"/>
      <w:pPr>
        <w:ind w:left="1440" w:hanging="360"/>
      </w:pPr>
      <w:rPr>
        <w:rFonts w:ascii="Symbol" w:hAnsi="Symbol" w:hint="default"/>
        <w:b/>
        <w:i w:val="0"/>
        <w:color w:val="197278"/>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5721AFA"/>
    <w:multiLevelType w:val="hybridMultilevel"/>
    <w:tmpl w:val="AC4AFEFE"/>
    <w:lvl w:ilvl="0" w:tplc="93F2223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6BA2C74"/>
    <w:multiLevelType w:val="hybridMultilevel"/>
    <w:tmpl w:val="1CC05622"/>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402C96"/>
    <w:multiLevelType w:val="hybridMultilevel"/>
    <w:tmpl w:val="62B4F2A0"/>
    <w:lvl w:ilvl="0" w:tplc="FFEED218">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51961E9"/>
    <w:multiLevelType w:val="hybridMultilevel"/>
    <w:tmpl w:val="329601F6"/>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0" w15:restartNumberingAfterBreak="0">
    <w:nsid w:val="7AFF49AE"/>
    <w:multiLevelType w:val="hybridMultilevel"/>
    <w:tmpl w:val="329601F6"/>
    <w:lvl w:ilvl="0" w:tplc="140A000F">
      <w:start w:val="1"/>
      <w:numFmt w:val="decimal"/>
      <w:lvlText w:val="%1."/>
      <w:lvlJc w:val="left"/>
      <w:pPr>
        <w:ind w:left="36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2"/>
  </w:num>
  <w:num w:numId="2">
    <w:abstractNumId w:val="7"/>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4"/>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909EB"/>
    <w:rsid w:val="00181ABF"/>
    <w:rsid w:val="001A7DC5"/>
    <w:rsid w:val="003172BE"/>
    <w:rsid w:val="00426D24"/>
    <w:rsid w:val="00875920"/>
    <w:rsid w:val="00937EF0"/>
    <w:rsid w:val="009A7BAA"/>
    <w:rsid w:val="00BD2F92"/>
    <w:rsid w:val="00C14BAD"/>
    <w:rsid w:val="00C76717"/>
    <w:rsid w:val="00CF141B"/>
    <w:rsid w:val="00D2422E"/>
    <w:rsid w:val="00D67CC3"/>
    <w:rsid w:val="00D90222"/>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9E28"/>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customStyle="1" w:styleId="PrrafodelistaCar">
    <w:name w:val="Párrafo de lista Car"/>
    <w:aliases w:val="Informe Car"/>
    <w:link w:val="Prrafodelista"/>
    <w:uiPriority w:val="34"/>
    <w:locked/>
    <w:rsid w:val="001A7DC5"/>
    <w:rPr>
      <w:rFonts w:ascii="Times New Roman" w:eastAsia="Times New Roman" w:hAnsi="Times New Roman" w:cs="Times New Roman"/>
      <w:sz w:val="24"/>
      <w:szCs w:val="24"/>
      <w:lang w:val="es-ES" w:eastAsia="es-ES"/>
    </w:rPr>
  </w:style>
  <w:style w:type="paragraph" w:styleId="Prrafodelista">
    <w:name w:val="List Paragraph"/>
    <w:aliases w:val="Informe"/>
    <w:basedOn w:val="Normal"/>
    <w:link w:val="PrrafodelistaCar"/>
    <w:uiPriority w:val="34"/>
    <w:qFormat/>
    <w:rsid w:val="001A7DC5"/>
    <w:pPr>
      <w:spacing w:line="240" w:lineRule="auto"/>
      <w:ind w:left="708"/>
      <w:jc w:val="left"/>
    </w:pPr>
    <w:rPr>
      <w:rFonts w:ascii="Times New Roman" w:hAnsi="Times New Roman"/>
      <w:sz w:val="24"/>
      <w:lang w:eastAsia="es-ES"/>
    </w:rPr>
  </w:style>
  <w:style w:type="paragraph" w:customStyle="1" w:styleId="Default">
    <w:name w:val="Default"/>
    <w:rsid w:val="001A7DC5"/>
    <w:pPr>
      <w:autoSpaceDE w:val="0"/>
      <w:autoSpaceDN w:val="0"/>
      <w:adjustRightInd w:val="0"/>
      <w:spacing w:after="0" w:line="240" w:lineRule="auto"/>
    </w:pPr>
    <w:rPr>
      <w:rFonts w:ascii="Arial" w:eastAsia="Calibri" w:hAnsi="Arial" w:cs="Arial"/>
      <w:color w:val="000000"/>
      <w:sz w:val="24"/>
      <w:szCs w:val="24"/>
      <w:lang w:eastAsia="es-CR"/>
    </w:rPr>
  </w:style>
  <w:style w:type="paragraph" w:customStyle="1" w:styleId="VN1">
    <w:name w:val="VN1"/>
    <w:basedOn w:val="Normal"/>
    <w:link w:val="VN1Car"/>
    <w:qFormat/>
    <w:rsid w:val="001A7DC5"/>
    <w:pPr>
      <w:spacing w:line="240" w:lineRule="auto"/>
      <w:ind w:left="567"/>
    </w:pPr>
    <w:rPr>
      <w:rFonts w:eastAsia="Arial Japanese"/>
      <w:sz w:val="18"/>
      <w:szCs w:val="18"/>
      <w:lang w:val="es-CR"/>
    </w:rPr>
  </w:style>
  <w:style w:type="character" w:customStyle="1" w:styleId="VN1Car">
    <w:name w:val="VN1 Car"/>
    <w:basedOn w:val="Fuentedeprrafopredeter"/>
    <w:link w:val="VN1"/>
    <w:rsid w:val="001A7DC5"/>
    <w:rPr>
      <w:rFonts w:ascii="Cambria" w:eastAsia="Arial Japanese" w:hAnsi="Cambria" w:cs="Times New Roman"/>
      <w:sz w:val="18"/>
      <w:szCs w:val="18"/>
    </w:rPr>
  </w:style>
  <w:style w:type="character" w:styleId="Hipervnculo">
    <w:name w:val="Hyperlink"/>
    <w:basedOn w:val="Fuentedeprrafopredeter"/>
    <w:uiPriority w:val="99"/>
    <w:unhideWhenUsed/>
    <w:rsid w:val="001A7DC5"/>
    <w:rPr>
      <w:color w:val="0563C1" w:themeColor="hyperlink"/>
      <w:u w:val="single"/>
    </w:rPr>
  </w:style>
  <w:style w:type="character" w:styleId="Mencinsinresolver">
    <w:name w:val="Unresolved Mention"/>
    <w:basedOn w:val="Fuentedeprrafopredeter"/>
    <w:uiPriority w:val="99"/>
    <w:semiHidden/>
    <w:unhideWhenUsed/>
    <w:rsid w:val="009A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guel.aguiar@sbdcr.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lexander.araya@sbdcr.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marlene.villanueva@sbdc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liana.chacon@sbdcr.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bdcr.com" TargetMode="External"/><Relationship Id="rId22" Type="http://schemas.openxmlformats.org/officeDocument/2006/relationships/header" Target="header3.xml"/><Relationship Id="rId27"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7075D6"/>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7D41"/>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sS31SNhMCf5SFZvi6GSaQSOdFcYwjQT7Q/kCj9/9XRs=</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+DIVEm6mc0RwmUViIEiGTvHCn5Cy01OnsYHRJEB9gqM=</DigestValue>
    </Reference>
  </SignedInfo>
  <SignatureValue>HIxEbpEZvJqQhTbPnfjSlxvOTsu67803lzoWKnm41ySoQ1BcIO2EHHiLlf3PtHXxVeKaW7m9F73T
zu1fR4D648hFsXRZhDFLjb4oE3nXtO63qVANqo+E3jXdTSDy5OGpnT6DmskdvQjGJOBJPIGWvpK3
w/OvxRUPRD7K1pzcZ/iE22dVDzS25j/5khb8D4jbbLm8jqEc/fPQWbvdlo241lFyIRSLyIAfN7LC
kDGgnBa6KJ1/HW8hoOKzWwaGLopbbAl4LysJvb3zXIASlSnNQNWqgB2iMt08Gyjfgdm7mW53ax1t
AD2pzFSo3Lc7E2IdaqVBqJDjxxUlw6L7z5fXWA==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QZVdnyg+yZtJnrqFxQwedF/60kq4cux/Bf4QuHkcgp4=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Q+ilX840LK4mMCaM68Zn7FpWGBmLReiiUJ5B9rypcuU=</DigestValue>
      </Reference>
      <Reference URI="/word/endnotes.xml?ContentType=application/vnd.openxmlformats-officedocument.wordprocessingml.endnotes+xml">
        <DigestMethod Algorithm="http://www.w3.org/2001/04/xmlenc#sha256"/>
        <DigestValue>qGGMXvJUUH8OhDNhCr3MGhpvFagxDlGIbVJzhD46BTU=</DigestValue>
      </Reference>
      <Reference URI="/word/fontTable.xml?ContentType=application/vnd.openxmlformats-officedocument.wordprocessingml.fontTable+xml">
        <DigestMethod Algorithm="http://www.w3.org/2001/04/xmlenc#sha256"/>
        <DigestValue>xT8ZHYbcXpDsInYJhVOpNG/3uOYiMRzr8O+3Rp4j5E0=</DigestValue>
      </Reference>
      <Reference URI="/word/footer1.xml?ContentType=application/vnd.openxmlformats-officedocument.wordprocessingml.footer+xml">
        <DigestMethod Algorithm="http://www.w3.org/2001/04/xmlenc#sha256"/>
        <DigestValue>EmqzoIWFqIkdI9NHJs3ekQsBrFfitZCxCQ3TfqBe66k=</DigestValue>
      </Reference>
      <Reference URI="/word/footer2.xml?ContentType=application/vnd.openxmlformats-officedocument.wordprocessingml.footer+xml">
        <DigestMethod Algorithm="http://www.w3.org/2001/04/xmlenc#sha256"/>
        <DigestValue>2MyUH85PAh12TZ/UdUEgnPcbhmQHxt/x2POi69QacoQ=</DigestValue>
      </Reference>
      <Reference URI="/word/footer3.xml?ContentType=application/vnd.openxmlformats-officedocument.wordprocessingml.footer+xml">
        <DigestMethod Algorithm="http://www.w3.org/2001/04/xmlenc#sha256"/>
        <DigestValue>iata25surRGzj3FreRvitLDxB1o44ps9YJGaWT+fRhI=</DigestValue>
      </Reference>
      <Reference URI="/word/footnotes.xml?ContentType=application/vnd.openxmlformats-officedocument.wordprocessingml.footnotes+xml">
        <DigestMethod Algorithm="http://www.w3.org/2001/04/xmlenc#sha256"/>
        <DigestValue>N/bVVtWHGRJl+rokL7rh/yu1P11w4yv82U518Y80kDI=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xT8ZHYbcXpDsInYJhVOpNG/3uOYiMRzr8O+3Rp4j5E0=</DigestValue>
      </Reference>
      <Reference URI="/word/glossary/settings.xml?ContentType=application/vnd.openxmlformats-officedocument.wordprocessingml.settings+xml">
        <DigestMethod Algorithm="http://www.w3.org/2001/04/xmlenc#sha256"/>
        <DigestValue>uYQE7jN2B4aRGDKetME9Y75F81gu2qea9W4fWfB+lzA=</DigestValue>
      </Reference>
      <Reference URI="/word/glossary/styles.xml?ContentType=application/vnd.openxmlformats-officedocument.wordprocessingml.styles+xml">
        <DigestMethod Algorithm="http://www.w3.org/2001/04/xmlenc#sha256"/>
        <DigestValue>gzYZl0lQUpaVCIN4zQe03nMuznSaKww2l3LBzW0/d1U=</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YSw9kNH5sGM7xsSA+mUcOCbtgEOH5+hUbiDkEkGyJNQ=</DigestValue>
      </Reference>
      <Reference URI="/word/header2.xml?ContentType=application/vnd.openxmlformats-officedocument.wordprocessingml.header+xml">
        <DigestMethod Algorithm="http://www.w3.org/2001/04/xmlenc#sha256"/>
        <DigestValue>NSRw+Xz59O/l8bBJNhNA8c/n05rxtMq0ZX6m/MpNuVc=</DigestValue>
      </Reference>
      <Reference URI="/word/header3.xml?ContentType=application/vnd.openxmlformats-officedocument.wordprocessingml.header+xml">
        <DigestMethod Algorithm="http://www.w3.org/2001/04/xmlenc#sha256"/>
        <DigestValue>f6KlFSajQ44KtTRDkakY5vfdcI6sN9+TkdoNxHlopu8=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WrZtdSAVD3g/Zi6qmJB5rbcbA4T5KZvW/JdYUlqggDM=</DigestValue>
      </Reference>
      <Reference URI="/word/settings.xml?ContentType=application/vnd.openxmlformats-officedocument.wordprocessingml.settings+xml">
        <DigestMethod Algorithm="http://www.w3.org/2001/04/xmlenc#sha256"/>
        <DigestValue>HYChPmywtm+B2QvEPHMEdu4OPT2i7vbtfdFiKLlVySw=</DigestValue>
      </Reference>
      <Reference URI="/word/styles.xml?ContentType=application/vnd.openxmlformats-officedocument.wordprocessingml.styles+xml">
        <DigestMethod Algorithm="http://www.w3.org/2001/04/xmlenc#sha256"/>
        <DigestValue>aQ6WH20RV+wD8RpUv5xXn/NTiiOArSU6ijOOb55WzdI=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2022-11-30T22:15:31Z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2022-11-30T22:15:31Z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pryuMP3lA7ncL5NFFIXuIe8zOzzf77RHouymXnzSTQCBBHOpL8YDzIwMjIxMTMwMjIxNT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3xoK38IZa0SQv4Ksh7PCIKGH4Pw=</xd:ByKey>
                  </xd:ResponderID>
                  <xd:ProducedAt>2022-11-30T22:14:33Z</xd:ProducedAt>
                </xd:OCSPIdentifier>
                <xd:DigestAlgAndValue>
                  <DigestMethod Algorithm="http://www.w3.org/2001/04/xmlenc#sha256"/>
                  <DigestValue>JPEBEtqOUWSBH7wv2/7YMdID+bRn3L+DNNgw1mHJ4mY=</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sespKg40h7wSRpkaNBDUk2yjzki4WTqCUFN9J8YFPkCBBHOpMAYDzIwMjIxMTMwMjIxNT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GRUPO DE INTERES ECONOMICO</DisplayName>
        <AccountId>707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CNS 1752 PUBLICAR
INFORMAR SALIENTE GRUPOS DE INTERES ECONOMICOS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2022-11-25T06:00:00+00:00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CNS 1752 PUBLICAR</Subject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984681C-F33F-4B95-BAFA-1275ED9DE25E}"/>
</file>

<file path=customXml/itemProps2.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3.xml><?xml version="1.0" encoding="utf-8"?>
<ds:datastoreItem xmlns:ds="http://schemas.openxmlformats.org/officeDocument/2006/customXml" ds:itemID="{068C5E37-641F-4ADA-A5AD-E52456C0FFAB}">
  <ds:schemaRefs>
    <ds:schemaRef ds:uri="b875e23b-67d9-4b2e-bdec-edacbf90b326"/>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4CDB5ED-532C-452D-9278-3EEE4972CFF2}"/>
</file>

<file path=customXml/itemProps5.xml><?xml version="1.0" encoding="utf-8"?>
<ds:datastoreItem xmlns:ds="http://schemas.openxmlformats.org/officeDocument/2006/customXml" ds:itemID="{98CCF333-255B-4A03-9115-9D5579B50995}"/>
</file>

<file path=customXml/itemProps6.xml><?xml version="1.0" encoding="utf-8"?>
<ds:datastoreItem xmlns:ds="http://schemas.openxmlformats.org/officeDocument/2006/customXml" ds:itemID="{D92D2610-ACFE-4953-9DC0-44472F5D39B8}"/>
</file>

<file path=docProps/app.xml><?xml version="1.0" encoding="utf-8"?>
<Properties xmlns="http://schemas.openxmlformats.org/officeDocument/2006/extended-properties" xmlns:vt="http://schemas.openxmlformats.org/officeDocument/2006/docPropsVTypes">
  <Template>Normal</Template>
  <TotalTime>13</TotalTime>
  <Pages>8</Pages>
  <Words>1909</Words>
  <Characters>10502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VARGAS LEAL MARIA GABRIELA</cp:lastModifiedBy>
  <cp:revision>7</cp:revision>
  <dcterms:created xsi:type="dcterms:W3CDTF">2022-11-25T17:19:00Z</dcterms:created>
  <dcterms:modified xsi:type="dcterms:W3CDTF">2022-11-30T00:34:00Z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635600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f1fd9d7f-da86-405a-9476-87cbb240632e,5;e296350a-171a-4531-9415-14f9933ddbf9,7;</vt:lpwstr>
  </property>
</Properties>
</file>